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jc w:val="center"/>
        <w:rPr>
          <w:rFonts w:ascii="Times New Roman" w:hAnsi="Times New Roman"/>
          <w:b/>
          <w:sz w:val="28"/>
          <w:u w:val="single"/>
        </w:rPr>
      </w:pPr>
      <w:r w:rsidRPr="00FF16A9">
        <w:rPr>
          <w:rFonts w:ascii="Times New Roman" w:hAnsi="Times New Roman"/>
          <w:b/>
          <w:sz w:val="28"/>
        </w:rPr>
        <w:t xml:space="preserve">UNITED STATES DISTRICT COURT FOR THE </w:t>
      </w:r>
    </w:p>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jc w:val="center"/>
        <w:rPr>
          <w:rFonts w:ascii="Times New Roman" w:hAnsi="Times New Roman"/>
          <w:b/>
          <w:sz w:val="28"/>
        </w:rPr>
      </w:pPr>
      <w:r w:rsidRPr="00FF16A9">
        <w:rPr>
          <w:rFonts w:ascii="Times New Roman" w:hAnsi="Times New Roman"/>
          <w:b/>
          <w:sz w:val="28"/>
        </w:rPr>
        <w:t>FOR NORTHERN DISTRICT OF GEORIGA</w:t>
      </w:r>
    </w:p>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jc w:val="center"/>
        <w:rPr>
          <w:rFonts w:ascii="Times New Roman" w:hAnsi="Times New Roman"/>
          <w:b/>
          <w:sz w:val="28"/>
        </w:rPr>
      </w:pPr>
      <w:r w:rsidRPr="00FF16A9">
        <w:rPr>
          <w:rFonts w:ascii="Times New Roman" w:hAnsi="Times New Roman"/>
          <w:b/>
          <w:sz w:val="28"/>
        </w:rPr>
        <w:t>ATLANTA DIVISION</w:t>
      </w:r>
    </w:p>
    <w:p w:rsidR="00F90680"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sidRPr="00182475">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FF16A9">
        <w:rPr>
          <w:rFonts w:ascii="Times New Roman" w:hAnsi="Times New Roman"/>
          <w:b/>
          <w:sz w:val="24"/>
        </w:rPr>
        <w:t>CIVIL ACTION FILE</w:t>
      </w:r>
    </w:p>
    <w:p w:rsidR="005A7D33"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F90680" w:rsidRPr="00FF16A9" w:rsidRDefault="00F90680" w:rsidP="009C046F">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 xml:space="preserve">Wekesa O. Madzimoyo, </w:t>
      </w:r>
      <w:r w:rsidRPr="00FF16A9">
        <w:rPr>
          <w:rFonts w:ascii="Times New Roman" w:hAnsi="Times New Roman"/>
          <w:b/>
          <w:sz w:val="24"/>
        </w:rPr>
        <w:br/>
        <w:t>Plaintiff</w:t>
      </w:r>
      <w:r w:rsidR="00FF16A9" w:rsidRPr="00FF16A9">
        <w:rPr>
          <w:rFonts w:ascii="Times New Roman" w:hAnsi="Times New Roman"/>
          <w:b/>
          <w:sz w:val="24"/>
        </w:rPr>
        <w:t>,</w:t>
      </w:r>
      <w:r w:rsidRPr="00FF16A9">
        <w:rPr>
          <w:rFonts w:ascii="Times New Roman" w:hAnsi="Times New Roman"/>
          <w:b/>
          <w:sz w:val="24"/>
        </w:rPr>
        <w:tab/>
        <w:t xml:space="preserve">                                                </w:t>
      </w:r>
      <w:r w:rsidRPr="00FF16A9">
        <w:rPr>
          <w:rFonts w:ascii="Times New Roman" w:hAnsi="Times New Roman"/>
          <w:b/>
          <w:sz w:val="24"/>
        </w:rPr>
        <w:tab/>
        <w:t xml:space="preserve">        </w:t>
      </w:r>
      <w:r w:rsidR="00FF16A9">
        <w:rPr>
          <w:rFonts w:ascii="Times New Roman" w:hAnsi="Times New Roman"/>
          <w:b/>
          <w:sz w:val="24"/>
        </w:rPr>
        <w:t xml:space="preserve"> </w:t>
      </w:r>
      <w:r w:rsidRPr="00FF16A9">
        <w:rPr>
          <w:rFonts w:ascii="Times New Roman" w:hAnsi="Times New Roman"/>
          <w:b/>
          <w:sz w:val="24"/>
        </w:rPr>
        <w:t xml:space="preserve"> </w:t>
      </w:r>
      <w:r w:rsidR="00FF16A9">
        <w:rPr>
          <w:rFonts w:ascii="Times New Roman" w:hAnsi="Times New Roman"/>
          <w:b/>
          <w:sz w:val="24"/>
        </w:rPr>
        <w:t xml:space="preserve"> </w:t>
      </w:r>
      <w:r w:rsidRPr="00FF16A9">
        <w:rPr>
          <w:rFonts w:ascii="Times New Roman" w:hAnsi="Times New Roman"/>
          <w:b/>
          <w:sz w:val="24"/>
        </w:rPr>
        <w:t xml:space="preserve">  }   </w:t>
      </w:r>
    </w:p>
    <w:p w:rsidR="00F90680" w:rsidRPr="00FF16A9" w:rsidRDefault="00443287"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b/>
          <w:noProof/>
          <w:sz w:val="24"/>
          <w:lang w:eastAsia="zh-TW"/>
        </w:rPr>
        <w:pict>
          <v:shapetype id="_x0000_t202" coordsize="21600,21600" o:spt="202" path="m,l,21600r21600,l21600,xe">
            <v:stroke joinstyle="miter"/>
            <v:path gradientshapeok="t" o:connecttype="rect"/>
          </v:shapetype>
          <v:shape id="_x0000_s1026" type="#_x0000_t202" style="position:absolute;margin-left:293.1pt;margin-top:17.15pt;width:186.35pt;height:43.5pt;z-index:251660288;mso-width-percent:400;mso-width-percent:400;mso-width-relative:margin;mso-height-relative:margin" fillcolor="white [3212]" strokecolor="white [3212]">
            <v:textbox style="mso-fit-shape-to-text:t">
              <w:txbxContent>
                <w:p w:rsidR="005A7D33" w:rsidRPr="00FF16A9" w:rsidRDefault="005A7D33"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No. 1:09-CV-02355-CAP-GGB</w:t>
                  </w:r>
                </w:p>
                <w:p w:rsidR="00065A86" w:rsidRPr="005A7D33" w:rsidRDefault="00065A86" w:rsidP="005A7D33"/>
              </w:txbxContent>
            </v:textbox>
          </v:shape>
        </w:pict>
      </w:r>
      <w:proofErr w:type="gramStart"/>
      <w:r w:rsidR="00F90680" w:rsidRPr="00FF16A9">
        <w:rPr>
          <w:rFonts w:ascii="Times New Roman" w:hAnsi="Times New Roman"/>
          <w:b/>
          <w:sz w:val="24"/>
        </w:rPr>
        <w:t>v</w:t>
      </w:r>
      <w:proofErr w:type="gramEnd"/>
      <w:r w:rsidR="00F90680" w:rsidRPr="00FF16A9">
        <w:rPr>
          <w:rFonts w:ascii="Times New Roman" w:hAnsi="Times New Roman"/>
          <w:b/>
          <w:sz w:val="24"/>
        </w:rPr>
        <w:t>.</w:t>
      </w:r>
      <w:r w:rsidR="00F90680" w:rsidRPr="00FF16A9">
        <w:rPr>
          <w:rFonts w:ascii="Times New Roman" w:hAnsi="Times New Roman"/>
          <w:b/>
          <w:sz w:val="24"/>
        </w:rPr>
        <w:tab/>
      </w:r>
      <w:r w:rsidR="00F90680" w:rsidRPr="00FF16A9">
        <w:rPr>
          <w:rFonts w:ascii="Times New Roman" w:hAnsi="Times New Roman"/>
          <w:b/>
          <w:sz w:val="24"/>
        </w:rPr>
        <w:tab/>
      </w:r>
      <w:r w:rsidR="00F90680" w:rsidRPr="00FF16A9">
        <w:rPr>
          <w:rFonts w:ascii="Times New Roman" w:hAnsi="Times New Roman"/>
          <w:b/>
          <w:sz w:val="24"/>
        </w:rPr>
        <w:tab/>
      </w:r>
      <w:r w:rsidR="00F90680" w:rsidRPr="00FF16A9">
        <w:rPr>
          <w:rFonts w:ascii="Times New Roman" w:hAnsi="Times New Roman"/>
          <w:b/>
          <w:sz w:val="24"/>
        </w:rPr>
        <w:tab/>
        <w:t xml:space="preserve">                                   </w:t>
      </w:r>
      <w:r w:rsidR="00F90680" w:rsidRPr="00FF16A9">
        <w:rPr>
          <w:rFonts w:ascii="Times New Roman" w:hAnsi="Times New Roman"/>
          <w:b/>
          <w:sz w:val="24"/>
        </w:rPr>
        <w:tab/>
        <w:t xml:space="preserve">        </w:t>
      </w:r>
      <w:r w:rsidR="00FF16A9">
        <w:rPr>
          <w:rFonts w:ascii="Times New Roman" w:hAnsi="Times New Roman"/>
          <w:b/>
          <w:sz w:val="24"/>
        </w:rPr>
        <w:t xml:space="preserve">  </w:t>
      </w:r>
      <w:r w:rsidR="00F90680" w:rsidRPr="00FF16A9">
        <w:rPr>
          <w:rFonts w:ascii="Times New Roman" w:hAnsi="Times New Roman"/>
          <w:b/>
          <w:sz w:val="24"/>
        </w:rPr>
        <w:t xml:space="preserve">   }</w:t>
      </w:r>
    </w:p>
    <w:p w:rsidR="00065A86"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8"/>
        </w:rPr>
      </w:pPr>
      <w:r w:rsidRPr="00FF16A9">
        <w:rPr>
          <w:rFonts w:ascii="Times New Roman" w:hAnsi="Times New Roman"/>
          <w:b/>
          <w:sz w:val="24"/>
        </w:rPr>
        <w:t xml:space="preserve">THE BANK OF NEW YORK                               </w:t>
      </w:r>
      <w:r w:rsidR="00FF16A9">
        <w:rPr>
          <w:rFonts w:ascii="Times New Roman" w:hAnsi="Times New Roman"/>
          <w:b/>
          <w:sz w:val="24"/>
        </w:rPr>
        <w:t xml:space="preserve">  </w:t>
      </w:r>
      <w:r w:rsidRPr="00FF16A9">
        <w:rPr>
          <w:rFonts w:ascii="Times New Roman" w:hAnsi="Times New Roman"/>
          <w:b/>
          <w:sz w:val="24"/>
        </w:rPr>
        <w:t xml:space="preserve">   }   </w:t>
      </w:r>
    </w:p>
    <w:p w:rsidR="00FF16A9" w:rsidRPr="00FF16A9" w:rsidRDefault="00F90680"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F16A9">
        <w:rPr>
          <w:rFonts w:ascii="Times New Roman" w:hAnsi="Times New Roman"/>
          <w:b/>
          <w:sz w:val="24"/>
        </w:rPr>
        <w:t xml:space="preserve">MELLON TRUST COMPANY, NA.,                   </w:t>
      </w:r>
      <w:r w:rsidR="00FF16A9">
        <w:rPr>
          <w:rFonts w:ascii="Times New Roman" w:hAnsi="Times New Roman"/>
          <w:b/>
          <w:sz w:val="24"/>
        </w:rPr>
        <w:t xml:space="preserve"> </w:t>
      </w:r>
      <w:r w:rsidRPr="00FF16A9">
        <w:rPr>
          <w:rFonts w:ascii="Times New Roman" w:hAnsi="Times New Roman"/>
          <w:b/>
          <w:sz w:val="24"/>
        </w:rPr>
        <w:t xml:space="preserve"> </w:t>
      </w:r>
      <w:r w:rsidR="00FF16A9">
        <w:rPr>
          <w:rFonts w:ascii="Times New Roman" w:hAnsi="Times New Roman"/>
          <w:b/>
          <w:sz w:val="24"/>
        </w:rPr>
        <w:t xml:space="preserve"> </w:t>
      </w:r>
      <w:r w:rsidRPr="00FF16A9">
        <w:rPr>
          <w:rFonts w:ascii="Times New Roman" w:hAnsi="Times New Roman"/>
          <w:b/>
          <w:sz w:val="24"/>
        </w:rPr>
        <w:t xml:space="preserve">  }</w:t>
      </w:r>
      <w:r w:rsidRPr="00FF16A9">
        <w:rPr>
          <w:rFonts w:ascii="Times New Roman" w:hAnsi="Times New Roman"/>
          <w:b/>
          <w:sz w:val="24"/>
        </w:rPr>
        <w:br/>
        <w:t xml:space="preserve"> formerly known as The Bank of New                </w:t>
      </w:r>
      <w:r w:rsidRPr="00FF16A9">
        <w:rPr>
          <w:rFonts w:ascii="Times New Roman" w:hAnsi="Times New Roman"/>
          <w:b/>
          <w:sz w:val="24"/>
        </w:rPr>
        <w:tab/>
      </w:r>
      <w:r w:rsidR="00FF16A9">
        <w:rPr>
          <w:rFonts w:ascii="Times New Roman" w:hAnsi="Times New Roman"/>
          <w:b/>
          <w:sz w:val="24"/>
        </w:rPr>
        <w:t xml:space="preserve">  </w:t>
      </w:r>
      <w:r w:rsidRPr="00FF16A9">
        <w:rPr>
          <w:rFonts w:ascii="Times New Roman" w:hAnsi="Times New Roman"/>
          <w:b/>
          <w:sz w:val="24"/>
        </w:rPr>
        <w:t xml:space="preserve">  </w:t>
      </w:r>
      <w:proofErr w:type="gramStart"/>
      <w:r w:rsidRPr="00FF16A9">
        <w:rPr>
          <w:rFonts w:ascii="Times New Roman" w:hAnsi="Times New Roman"/>
          <w:b/>
          <w:sz w:val="24"/>
        </w:rPr>
        <w:t>}</w:t>
      </w:r>
      <w:proofErr w:type="gramEnd"/>
      <w:r w:rsidRPr="00FF16A9">
        <w:rPr>
          <w:rFonts w:ascii="Times New Roman" w:hAnsi="Times New Roman"/>
          <w:b/>
          <w:sz w:val="24"/>
        </w:rPr>
        <w:br/>
        <w:t xml:space="preserve">York Trust Company, N.A., JP MORGAN     </w:t>
      </w:r>
      <w:r w:rsidRPr="00FF16A9">
        <w:rPr>
          <w:rFonts w:ascii="Times New Roman" w:hAnsi="Times New Roman"/>
          <w:b/>
          <w:sz w:val="24"/>
        </w:rPr>
        <w:tab/>
      </w:r>
      <w:r w:rsidR="00FF16A9">
        <w:rPr>
          <w:rFonts w:ascii="Times New Roman" w:hAnsi="Times New Roman"/>
          <w:b/>
          <w:sz w:val="24"/>
        </w:rPr>
        <w:t xml:space="preserve">  </w:t>
      </w:r>
      <w:r w:rsidRPr="00FF16A9">
        <w:rPr>
          <w:rFonts w:ascii="Times New Roman" w:hAnsi="Times New Roman"/>
          <w:b/>
          <w:sz w:val="24"/>
        </w:rPr>
        <w:t xml:space="preserve">  }</w:t>
      </w:r>
      <w:r w:rsidRPr="00FF16A9">
        <w:rPr>
          <w:rFonts w:ascii="Times New Roman" w:hAnsi="Times New Roman"/>
          <w:b/>
          <w:sz w:val="24"/>
        </w:rPr>
        <w:br/>
        <w:t>CHASE BANK, NA, GMAC MORTGAGE, LLC   }</w:t>
      </w:r>
      <w:r w:rsidRPr="00FF16A9">
        <w:rPr>
          <w:rFonts w:ascii="Times New Roman" w:hAnsi="Times New Roman"/>
          <w:b/>
          <w:sz w:val="24"/>
        </w:rPr>
        <w:br/>
        <w:t xml:space="preserve">and ANTHONY DEMARLO, Attorney </w:t>
      </w:r>
    </w:p>
    <w:p w:rsidR="00F90680" w:rsidRPr="00182475" w:rsidRDefault="00FF16A9" w:rsidP="00F90680">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roofErr w:type="gramStart"/>
      <w:r w:rsidRPr="00FF16A9">
        <w:rPr>
          <w:rFonts w:ascii="Times New Roman" w:hAnsi="Times New Roman"/>
          <w:b/>
          <w:sz w:val="24"/>
        </w:rPr>
        <w:t>Defendants.</w:t>
      </w:r>
      <w:proofErr w:type="gramEnd"/>
      <w:r w:rsidRPr="00FF16A9">
        <w:rPr>
          <w:rFonts w:ascii="Times New Roman" w:hAnsi="Times New Roman"/>
          <w:b/>
          <w:sz w:val="24"/>
        </w:rPr>
        <w:tab/>
        <w:t xml:space="preserve">                                              </w:t>
      </w:r>
      <w:r w:rsidR="00F90680" w:rsidRPr="00FF16A9">
        <w:rPr>
          <w:rFonts w:ascii="Times New Roman" w:hAnsi="Times New Roman"/>
          <w:b/>
          <w:sz w:val="24"/>
        </w:rPr>
        <w:t xml:space="preserve">                 </w:t>
      </w:r>
      <w:r w:rsidR="00F90680" w:rsidRPr="00182475">
        <w:rPr>
          <w:rFonts w:ascii="Times New Roman" w:hAnsi="Times New Roman"/>
          <w:sz w:val="24"/>
        </w:rPr>
        <w:t>}</w:t>
      </w:r>
    </w:p>
    <w:p w:rsidR="00F90680" w:rsidRPr="00182475" w:rsidRDefault="00F90680" w:rsidP="00F90680">
      <w:pPr>
        <w:pBdr>
          <w:bottom w:val="single" w:sz="6" w:space="1" w:color="auto"/>
        </w:pBd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rPr>
      </w:pPr>
    </w:p>
    <w:p w:rsidR="00065A86" w:rsidRDefault="00065A86" w:rsidP="00065A86">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
    <w:p w:rsidR="00065A86" w:rsidRPr="00FF16A9" w:rsidRDefault="006D4020" w:rsidP="005A7D33">
      <w:p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ind w:left="-90"/>
        <w:jc w:val="center"/>
        <w:rPr>
          <w:rFonts w:ascii="Times New Roman" w:hAnsi="Times New Roman"/>
          <w:b/>
          <w:sz w:val="32"/>
          <w:u w:val="single"/>
        </w:rPr>
      </w:pPr>
      <w:r>
        <w:rPr>
          <w:rFonts w:ascii="Times New Roman" w:hAnsi="Times New Roman"/>
          <w:b/>
          <w:sz w:val="32"/>
          <w:u w:val="single"/>
        </w:rPr>
        <w:t>RESPONSE TO MOTION FOR SUMMARY JUDGMENT</w:t>
      </w:r>
    </w:p>
    <w:p w:rsidR="00065A86" w:rsidRDefault="005A7D33"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r>
        <w:rPr>
          <w:rFonts w:ascii="Times New Roman" w:hAnsi="Times New Roman"/>
          <w:sz w:val="24"/>
        </w:rPr>
        <w:tab/>
      </w:r>
      <w:r w:rsidR="00065A86">
        <w:rPr>
          <w:rFonts w:ascii="Times New Roman" w:hAnsi="Times New Roman"/>
          <w:sz w:val="24"/>
        </w:rPr>
        <w:t>Come now the Pla</w:t>
      </w:r>
      <w:r w:rsidR="00FF16A9">
        <w:rPr>
          <w:rFonts w:ascii="Times New Roman" w:hAnsi="Times New Roman"/>
          <w:sz w:val="24"/>
        </w:rPr>
        <w:t>i</w:t>
      </w:r>
      <w:r w:rsidR="00065A86">
        <w:rPr>
          <w:rFonts w:ascii="Times New Roman" w:hAnsi="Times New Roman"/>
          <w:sz w:val="24"/>
        </w:rPr>
        <w:t xml:space="preserve">ntiff, </w:t>
      </w:r>
      <w:r w:rsidR="00F76625">
        <w:rPr>
          <w:rFonts w:ascii="Times New Roman" w:hAnsi="Times New Roman"/>
          <w:sz w:val="24"/>
        </w:rPr>
        <w:t>WEKESA O. MADZIMOYO</w:t>
      </w:r>
      <w:r w:rsidR="00065A86">
        <w:rPr>
          <w:rFonts w:ascii="Times New Roman" w:hAnsi="Times New Roman"/>
          <w:sz w:val="24"/>
        </w:rPr>
        <w:t xml:space="preserve"> AND </w:t>
      </w:r>
      <w:r>
        <w:rPr>
          <w:rFonts w:ascii="Times New Roman" w:hAnsi="Times New Roman"/>
          <w:sz w:val="24"/>
        </w:rPr>
        <w:t xml:space="preserve">move the Court </w:t>
      </w:r>
      <w:r w:rsidR="006D4020">
        <w:rPr>
          <w:rFonts w:ascii="Times New Roman" w:hAnsi="Times New Roman"/>
          <w:sz w:val="24"/>
        </w:rPr>
        <w:t>to deny defendant</w:t>
      </w:r>
      <w:r>
        <w:rPr>
          <w:rFonts w:ascii="Times New Roman" w:hAnsi="Times New Roman"/>
          <w:sz w:val="24"/>
        </w:rPr>
        <w:t xml:space="preserve"> ANTHONY DEMARLO AND M</w:t>
      </w:r>
      <w:r w:rsidR="00F76625">
        <w:rPr>
          <w:rFonts w:ascii="Times New Roman" w:hAnsi="Times New Roman"/>
          <w:sz w:val="24"/>
        </w:rPr>
        <w:t>C</w:t>
      </w:r>
      <w:r>
        <w:rPr>
          <w:rFonts w:ascii="Times New Roman" w:hAnsi="Times New Roman"/>
          <w:sz w:val="24"/>
        </w:rPr>
        <w:t>CURDY &amp; CANDLER LLC’</w:t>
      </w:r>
      <w:r w:rsidR="00F76625">
        <w:rPr>
          <w:rFonts w:ascii="Times New Roman" w:hAnsi="Times New Roman"/>
          <w:sz w:val="24"/>
        </w:rPr>
        <w:t xml:space="preserve">s MOTION FOR </w:t>
      </w:r>
      <w:r w:rsidR="006D4020">
        <w:rPr>
          <w:rFonts w:ascii="Times New Roman" w:hAnsi="Times New Roman"/>
          <w:sz w:val="24"/>
        </w:rPr>
        <w:t>SUMMARY JUDGEMENT, and in support thereof show the Court as follows:</w:t>
      </w:r>
    </w:p>
    <w:p w:rsidR="00F76625" w:rsidRDefault="00F76625"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p>
    <w:p w:rsidR="00F76625" w:rsidRDefault="00F76625" w:rsidP="00F76625">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r>
        <w:rPr>
          <w:rFonts w:ascii="Times New Roman" w:hAnsi="Times New Roman"/>
          <w:sz w:val="24"/>
        </w:rPr>
        <w:t>While WEKESA MADZIMOYO believes that he is well within time</w:t>
      </w:r>
      <w:r w:rsidR="009C046F">
        <w:rPr>
          <w:rFonts w:ascii="Times New Roman" w:hAnsi="Times New Roman"/>
          <w:sz w:val="24"/>
        </w:rPr>
        <w:t xml:space="preserve"> to answer</w:t>
      </w:r>
      <w:r>
        <w:rPr>
          <w:rFonts w:ascii="Times New Roman" w:hAnsi="Times New Roman"/>
          <w:sz w:val="24"/>
        </w:rPr>
        <w:t xml:space="preserve"> by an applicable calendar, If he is not, the P</w:t>
      </w:r>
      <w:r w:rsidR="00FF16A9">
        <w:rPr>
          <w:rFonts w:ascii="Times New Roman" w:hAnsi="Times New Roman"/>
          <w:sz w:val="24"/>
        </w:rPr>
        <w:t>laintiff</w:t>
      </w:r>
      <w:r>
        <w:rPr>
          <w:rFonts w:ascii="Times New Roman" w:hAnsi="Times New Roman"/>
          <w:sz w:val="24"/>
        </w:rPr>
        <w:t xml:space="preserve"> request</w:t>
      </w:r>
      <w:r w:rsidR="00FF16A9">
        <w:rPr>
          <w:rFonts w:ascii="Times New Roman" w:hAnsi="Times New Roman"/>
          <w:sz w:val="24"/>
        </w:rPr>
        <w:t>s</w:t>
      </w:r>
      <w:r>
        <w:rPr>
          <w:rFonts w:ascii="Times New Roman" w:hAnsi="Times New Roman"/>
          <w:sz w:val="24"/>
        </w:rPr>
        <w:t xml:space="preserve"> that the court grant and extension so that he may answer.</w:t>
      </w:r>
    </w:p>
    <w:p w:rsidR="00F76625" w:rsidRDefault="00F76625" w:rsidP="00F76625">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p>
    <w:p w:rsidR="00F76625" w:rsidRDefault="006D4020" w:rsidP="006D402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jc w:val="center"/>
        <w:rPr>
          <w:rFonts w:ascii="Times New Roman" w:hAnsi="Times New Roman"/>
          <w:sz w:val="24"/>
          <w:u w:val="single"/>
        </w:rPr>
      </w:pPr>
      <w:r w:rsidRPr="007C42D1">
        <w:rPr>
          <w:rFonts w:ascii="Times New Roman" w:hAnsi="Times New Roman"/>
          <w:sz w:val="24"/>
          <w:u w:val="single"/>
        </w:rPr>
        <w:t>STATEMENT OF FACTS</w:t>
      </w:r>
    </w:p>
    <w:p w:rsidR="00252113" w:rsidRPr="00403CCA" w:rsidRDefault="00252113" w:rsidP="0025211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color w:val="FF0000"/>
          <w:sz w:val="24"/>
        </w:rPr>
      </w:pPr>
      <w:r>
        <w:rPr>
          <w:rFonts w:ascii="Times New Roman" w:hAnsi="Times New Roman"/>
          <w:color w:val="FF0000"/>
          <w:sz w:val="24"/>
        </w:rPr>
        <w:t xml:space="preserve">Plaintiff’s </w:t>
      </w:r>
      <w:r w:rsidRPr="00403CCA">
        <w:rPr>
          <w:rFonts w:ascii="Times New Roman" w:hAnsi="Times New Roman"/>
          <w:color w:val="FF0000"/>
          <w:sz w:val="24"/>
        </w:rPr>
        <w:t xml:space="preserve">Response to </w:t>
      </w:r>
      <w:r>
        <w:rPr>
          <w:rFonts w:ascii="Times New Roman" w:hAnsi="Times New Roman"/>
          <w:color w:val="FF0000"/>
          <w:sz w:val="24"/>
        </w:rPr>
        <w:t>Introduction and Statement of Facts section of Defendant’s Motion for Judgment on the Pleadings:</w:t>
      </w:r>
    </w:p>
    <w:p w:rsidR="00252113" w:rsidRPr="007C42D1" w:rsidRDefault="00252113" w:rsidP="006D4020">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jc w:val="center"/>
        <w:rPr>
          <w:rFonts w:ascii="Times New Roman" w:hAnsi="Times New Roman"/>
          <w:sz w:val="24"/>
          <w:u w:val="single"/>
        </w:rPr>
      </w:pPr>
    </w:p>
    <w:p w:rsidR="00FE5A8C" w:rsidRDefault="00FE5A8C" w:rsidP="00F76625">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p>
    <w:p w:rsidR="00F76625" w:rsidRPr="00B47969" w:rsidRDefault="007C42D1" w:rsidP="00B47969">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sidRPr="00B47969">
        <w:rPr>
          <w:rFonts w:ascii="Times New Roman" w:hAnsi="Times New Roman"/>
          <w:sz w:val="24"/>
        </w:rPr>
        <w:lastRenderedPageBreak/>
        <w:t xml:space="preserve">On </w:t>
      </w:r>
      <w:r w:rsidR="00607BDE" w:rsidRPr="00B47969">
        <w:rPr>
          <w:rFonts w:ascii="Times New Roman" w:hAnsi="Times New Roman"/>
          <w:sz w:val="24"/>
        </w:rPr>
        <w:t xml:space="preserve">July 29, </w:t>
      </w:r>
      <w:r w:rsidRPr="00B47969">
        <w:rPr>
          <w:rFonts w:ascii="Times New Roman" w:hAnsi="Times New Roman"/>
          <w:sz w:val="24"/>
        </w:rPr>
        <w:t xml:space="preserve">2009 Plaintiff </w:t>
      </w:r>
      <w:r w:rsidR="00607BDE" w:rsidRPr="00B47969">
        <w:rPr>
          <w:rFonts w:ascii="Times New Roman" w:hAnsi="Times New Roman"/>
          <w:sz w:val="24"/>
        </w:rPr>
        <w:t>petitioned the DeKalb County Superior Court</w:t>
      </w:r>
      <w:r w:rsidRPr="00B47969">
        <w:rPr>
          <w:rFonts w:ascii="Times New Roman" w:hAnsi="Times New Roman"/>
          <w:sz w:val="24"/>
        </w:rPr>
        <w:t xml:space="preserve"> for a</w:t>
      </w:r>
      <w:r w:rsidR="00655451" w:rsidRPr="00B47969">
        <w:rPr>
          <w:rFonts w:ascii="Times New Roman" w:hAnsi="Times New Roman"/>
          <w:sz w:val="24"/>
        </w:rPr>
        <w:t>n</w:t>
      </w:r>
      <w:r w:rsidRPr="00B47969">
        <w:rPr>
          <w:rFonts w:ascii="Times New Roman" w:hAnsi="Times New Roman"/>
          <w:sz w:val="24"/>
        </w:rPr>
        <w:t xml:space="preserve"> </w:t>
      </w:r>
      <w:r w:rsidR="00607BDE" w:rsidRPr="00B47969">
        <w:rPr>
          <w:rFonts w:ascii="Times New Roman" w:hAnsi="Times New Roman"/>
          <w:sz w:val="24"/>
        </w:rPr>
        <w:t>EMERGENCY TEMPORARY RESTRAINING ORDER against the named defendants for injunctive relief to prohibit any further foreclosure action by the Defendants</w:t>
      </w:r>
      <w:r w:rsidR="00252113">
        <w:rPr>
          <w:rFonts w:ascii="Times New Roman" w:hAnsi="Times New Roman"/>
          <w:sz w:val="24"/>
        </w:rPr>
        <w:br/>
      </w:r>
    </w:p>
    <w:p w:rsidR="00B741D8" w:rsidRDefault="00607BDE" w:rsidP="00B741D8">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r>
        <w:rPr>
          <w:rFonts w:ascii="Times New Roman" w:hAnsi="Times New Roman"/>
          <w:sz w:val="24"/>
        </w:rPr>
        <w:t>Contrary to defendant ANTHONY DEMARLO AND MCCURDY &amp; CANDLER LLC’s version of the facts, Plaintiff claims</w:t>
      </w:r>
      <w:r w:rsidR="00B741D8">
        <w:rPr>
          <w:rFonts w:ascii="Times New Roman" w:hAnsi="Times New Roman"/>
          <w:sz w:val="24"/>
        </w:rPr>
        <w:t xml:space="preserve"> (Petition Page 2, Paragraph 3)</w:t>
      </w:r>
      <w:r>
        <w:rPr>
          <w:rFonts w:ascii="Times New Roman" w:hAnsi="Times New Roman"/>
          <w:sz w:val="24"/>
        </w:rPr>
        <w:t xml:space="preserve"> that the Defendants failed to</w:t>
      </w:r>
      <w:r w:rsidR="00B741D8">
        <w:rPr>
          <w:rFonts w:ascii="Times New Roman" w:hAnsi="Times New Roman"/>
          <w:sz w:val="24"/>
        </w:rPr>
        <w:t xml:space="preserve"> provide verification of their standing as agent, attorney, debt collector, lender, note holder, servicer, investor, trustee, or otherwise in the matter, which would provide Plaintiff with evidence of the Defendants’ lawful standing in this matter and determine who is the rightful lender/mortgage holder.</w:t>
      </w:r>
    </w:p>
    <w:p w:rsidR="00B741D8" w:rsidRPr="00B741D8" w:rsidRDefault="00B741D8" w:rsidP="00B741D8">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p>
    <w:p w:rsidR="00B741D8" w:rsidRDefault="00B741D8" w:rsidP="00B47969">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Pr>
          <w:rFonts w:ascii="Times New Roman" w:hAnsi="Times New Roman"/>
          <w:sz w:val="24"/>
        </w:rPr>
        <w:t>Plaintiff is deserving of injunctive relief because</w:t>
      </w:r>
      <w:r w:rsidR="0088206B">
        <w:rPr>
          <w:rFonts w:ascii="Times New Roman" w:hAnsi="Times New Roman"/>
          <w:sz w:val="24"/>
        </w:rPr>
        <w:t>:</w:t>
      </w:r>
      <w:r w:rsidR="00835243">
        <w:rPr>
          <w:rFonts w:ascii="Times New Roman" w:hAnsi="Times New Roman"/>
          <w:sz w:val="24"/>
        </w:rPr>
        <w:br/>
      </w:r>
    </w:p>
    <w:p w:rsidR="00B741D8" w:rsidRPr="00B47969" w:rsidRDefault="00B741D8" w:rsidP="00B47969">
      <w:pPr>
        <w:pStyle w:val="ListParagraph"/>
        <w:numPr>
          <w:ilvl w:val="0"/>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0"/>
        <w:rPr>
          <w:rFonts w:ascii="Times New Roman" w:hAnsi="Times New Roman"/>
          <w:sz w:val="24"/>
        </w:rPr>
      </w:pPr>
      <w:r w:rsidRPr="00B47969">
        <w:rPr>
          <w:rFonts w:ascii="Times New Roman" w:hAnsi="Times New Roman"/>
          <w:sz w:val="24"/>
        </w:rPr>
        <w:t xml:space="preserve">He </w:t>
      </w:r>
      <w:r w:rsidR="0088206B" w:rsidRPr="00B47969">
        <w:rPr>
          <w:rFonts w:ascii="Times New Roman" w:hAnsi="Times New Roman"/>
          <w:sz w:val="24"/>
        </w:rPr>
        <w:t xml:space="preserve">presented evidence that he </w:t>
      </w:r>
      <w:r w:rsidRPr="00B47969">
        <w:rPr>
          <w:rFonts w:ascii="Times New Roman" w:hAnsi="Times New Roman"/>
          <w:sz w:val="24"/>
        </w:rPr>
        <w:t xml:space="preserve">had been trying to get </w:t>
      </w:r>
      <w:r w:rsidR="00835243" w:rsidRPr="00B47969">
        <w:rPr>
          <w:rFonts w:ascii="Times New Roman" w:hAnsi="Times New Roman"/>
          <w:sz w:val="24"/>
        </w:rPr>
        <w:t>Defendants to verify their standing</w:t>
      </w:r>
      <w:r w:rsidRPr="00B47969">
        <w:rPr>
          <w:rFonts w:ascii="Times New Roman" w:hAnsi="Times New Roman"/>
          <w:sz w:val="24"/>
        </w:rPr>
        <w:t xml:space="preserve"> for months</w:t>
      </w:r>
      <w:r w:rsidR="00835243" w:rsidRPr="00B47969">
        <w:rPr>
          <w:rFonts w:ascii="Times New Roman" w:hAnsi="Times New Roman"/>
          <w:sz w:val="24"/>
        </w:rPr>
        <w:t xml:space="preserve"> prior to the petition for Court ordered injunctive relief.</w:t>
      </w:r>
      <w:r w:rsidR="0088206B" w:rsidRPr="00B47969">
        <w:rPr>
          <w:rFonts w:ascii="Times New Roman" w:hAnsi="Times New Roman"/>
          <w:sz w:val="24"/>
        </w:rPr>
        <w:t xml:space="preserve"> </w:t>
      </w:r>
      <w:r w:rsidR="00835243" w:rsidRPr="00B47969">
        <w:rPr>
          <w:rFonts w:ascii="Times New Roman" w:hAnsi="Times New Roman"/>
          <w:sz w:val="24"/>
        </w:rPr>
        <w:t>The</w:t>
      </w:r>
      <w:r w:rsidR="0088206B" w:rsidRPr="00B47969">
        <w:rPr>
          <w:rFonts w:ascii="Times New Roman" w:hAnsi="Times New Roman"/>
          <w:sz w:val="24"/>
        </w:rPr>
        <w:t xml:space="preserve"> Defendants’ </w:t>
      </w:r>
      <w:r w:rsidR="00835243" w:rsidRPr="00B47969">
        <w:rPr>
          <w:rFonts w:ascii="Times New Roman" w:hAnsi="Times New Roman"/>
          <w:sz w:val="24"/>
        </w:rPr>
        <w:t xml:space="preserve">steadfastly </w:t>
      </w:r>
      <w:r w:rsidRPr="00B47969">
        <w:rPr>
          <w:rFonts w:ascii="Times New Roman" w:hAnsi="Times New Roman"/>
          <w:sz w:val="24"/>
        </w:rPr>
        <w:t>refused</w:t>
      </w:r>
      <w:r w:rsidR="00835243" w:rsidRPr="00B47969">
        <w:rPr>
          <w:rFonts w:ascii="Times New Roman" w:hAnsi="Times New Roman"/>
          <w:sz w:val="24"/>
        </w:rPr>
        <w:t xml:space="preserve"> to do so</w:t>
      </w:r>
      <w:r w:rsidR="00F50851" w:rsidRPr="00B47969">
        <w:rPr>
          <w:rFonts w:ascii="Times New Roman" w:hAnsi="Times New Roman"/>
          <w:sz w:val="24"/>
        </w:rPr>
        <w:t>. O</w:t>
      </w:r>
      <w:r w:rsidR="00835243" w:rsidRPr="00B47969">
        <w:rPr>
          <w:rFonts w:ascii="Times New Roman" w:hAnsi="Times New Roman"/>
          <w:sz w:val="24"/>
        </w:rPr>
        <w:t>ne respon</w:t>
      </w:r>
      <w:r w:rsidR="00F50851" w:rsidRPr="00B47969">
        <w:rPr>
          <w:rFonts w:ascii="Times New Roman" w:hAnsi="Times New Roman"/>
          <w:sz w:val="24"/>
        </w:rPr>
        <w:t>se</w:t>
      </w:r>
      <w:r w:rsidR="00835243" w:rsidRPr="00B47969">
        <w:rPr>
          <w:rFonts w:ascii="Times New Roman" w:hAnsi="Times New Roman"/>
          <w:sz w:val="24"/>
        </w:rPr>
        <w:t xml:space="preserve"> on </w:t>
      </w:r>
      <w:r w:rsidR="00F50851" w:rsidRPr="00B47969">
        <w:rPr>
          <w:rFonts w:ascii="Times New Roman" w:hAnsi="Times New Roman"/>
          <w:sz w:val="24"/>
        </w:rPr>
        <w:t>Home</w:t>
      </w:r>
      <w:r w:rsidR="00655451" w:rsidRPr="00B47969">
        <w:rPr>
          <w:rFonts w:ascii="Times New Roman" w:hAnsi="Times New Roman"/>
          <w:sz w:val="24"/>
        </w:rPr>
        <w:t>c</w:t>
      </w:r>
      <w:r w:rsidR="00F50851" w:rsidRPr="00B47969">
        <w:rPr>
          <w:rFonts w:ascii="Times New Roman" w:hAnsi="Times New Roman"/>
          <w:sz w:val="24"/>
        </w:rPr>
        <w:t xml:space="preserve">omings Financial’ </w:t>
      </w:r>
      <w:r w:rsidR="00835243" w:rsidRPr="00B47969">
        <w:rPr>
          <w:rFonts w:ascii="Times New Roman" w:hAnsi="Times New Roman"/>
          <w:sz w:val="24"/>
        </w:rPr>
        <w:t>letter-head</w:t>
      </w:r>
      <w:r w:rsidR="00F50851" w:rsidRPr="00B47969">
        <w:rPr>
          <w:rFonts w:ascii="Times New Roman" w:hAnsi="Times New Roman"/>
          <w:sz w:val="24"/>
        </w:rPr>
        <w:t xml:space="preserve"> stated:</w:t>
      </w:r>
      <w:r w:rsidR="00835243" w:rsidRPr="00B47969">
        <w:rPr>
          <w:rFonts w:ascii="Times New Roman" w:hAnsi="Times New Roman"/>
          <w:sz w:val="24"/>
        </w:rPr>
        <w:t xml:space="preserve"> </w:t>
      </w:r>
      <w:r w:rsidR="00F50851" w:rsidRPr="00B47969">
        <w:rPr>
          <w:rFonts w:ascii="Times New Roman" w:hAnsi="Times New Roman"/>
          <w:sz w:val="24"/>
        </w:rPr>
        <w:br/>
      </w:r>
      <w:r w:rsidR="00F50851" w:rsidRPr="00B47969">
        <w:rPr>
          <w:rFonts w:ascii="Times New Roman" w:hAnsi="Times New Roman"/>
          <w:sz w:val="24"/>
        </w:rPr>
        <w:br/>
      </w:r>
      <w:r w:rsidR="00835243" w:rsidRPr="00B47969">
        <w:rPr>
          <w:rFonts w:ascii="Times New Roman" w:hAnsi="Times New Roman"/>
          <w:sz w:val="24"/>
        </w:rPr>
        <w:t>“th</w:t>
      </w:r>
      <w:r w:rsidR="00F50851" w:rsidRPr="00B47969">
        <w:rPr>
          <w:rFonts w:ascii="Times New Roman" w:hAnsi="Times New Roman"/>
          <w:sz w:val="24"/>
        </w:rPr>
        <w:t xml:space="preserve">e information requested is subject to business and trade practices which are </w:t>
      </w:r>
      <w:r w:rsidR="00835243" w:rsidRPr="00B47969">
        <w:rPr>
          <w:rFonts w:ascii="Times New Roman" w:hAnsi="Times New Roman"/>
          <w:sz w:val="24"/>
        </w:rPr>
        <w:t>proprietary</w:t>
      </w:r>
      <w:r w:rsidR="00F50851" w:rsidRPr="00B47969">
        <w:rPr>
          <w:rFonts w:ascii="Times New Roman" w:hAnsi="Times New Roman"/>
          <w:sz w:val="24"/>
        </w:rPr>
        <w:t xml:space="preserve"> and confidential and will not be provided.</w:t>
      </w:r>
      <w:r w:rsidR="00835243" w:rsidRPr="00B47969">
        <w:rPr>
          <w:rFonts w:ascii="Times New Roman" w:hAnsi="Times New Roman"/>
          <w:sz w:val="24"/>
        </w:rPr>
        <w:t xml:space="preserve">” </w:t>
      </w:r>
      <w:r w:rsidR="00F50851" w:rsidRPr="00B47969">
        <w:rPr>
          <w:rFonts w:ascii="Times New Roman" w:hAnsi="Times New Roman"/>
          <w:sz w:val="24"/>
        </w:rPr>
        <w:br/>
      </w:r>
      <w:r w:rsidR="00F50851" w:rsidRPr="00B47969">
        <w:rPr>
          <w:rFonts w:ascii="Times New Roman" w:hAnsi="Times New Roman"/>
          <w:sz w:val="24"/>
        </w:rPr>
        <w:br/>
        <w:t xml:space="preserve">While </w:t>
      </w:r>
      <w:r w:rsidR="00655451" w:rsidRPr="00B47969">
        <w:rPr>
          <w:rFonts w:ascii="Times New Roman" w:hAnsi="Times New Roman"/>
          <w:sz w:val="24"/>
        </w:rPr>
        <w:t xml:space="preserve">the letter was printed </w:t>
      </w:r>
      <w:r w:rsidR="00F50851" w:rsidRPr="00B47969">
        <w:rPr>
          <w:rFonts w:ascii="Times New Roman" w:hAnsi="Times New Roman"/>
          <w:sz w:val="24"/>
        </w:rPr>
        <w:t xml:space="preserve">on company letter-head, the letter was unsigned. </w:t>
      </w:r>
      <w:r w:rsidR="00F50851" w:rsidRPr="00524404">
        <w:rPr>
          <w:rFonts w:ascii="Times New Roman" w:hAnsi="Times New Roman"/>
          <w:b/>
          <w:sz w:val="24"/>
        </w:rPr>
        <w:t>(</w:t>
      </w:r>
      <w:r w:rsidR="00835243" w:rsidRPr="00524404">
        <w:rPr>
          <w:rFonts w:ascii="Times New Roman" w:hAnsi="Times New Roman"/>
          <w:b/>
          <w:sz w:val="24"/>
        </w:rPr>
        <w:t xml:space="preserve">See </w:t>
      </w:r>
      <w:r w:rsidR="00F50851" w:rsidRPr="00524404">
        <w:rPr>
          <w:rFonts w:ascii="Times New Roman" w:hAnsi="Times New Roman"/>
          <w:b/>
          <w:sz w:val="24"/>
        </w:rPr>
        <w:t xml:space="preserve">Attachment E Copies of Defendants </w:t>
      </w:r>
      <w:r w:rsidR="00742C26" w:rsidRPr="00524404">
        <w:rPr>
          <w:rFonts w:ascii="Times New Roman" w:hAnsi="Times New Roman"/>
          <w:b/>
          <w:sz w:val="24"/>
        </w:rPr>
        <w:t>L</w:t>
      </w:r>
      <w:r w:rsidR="00F50851" w:rsidRPr="00524404">
        <w:rPr>
          <w:rFonts w:ascii="Times New Roman" w:hAnsi="Times New Roman"/>
          <w:b/>
          <w:sz w:val="24"/>
        </w:rPr>
        <w:t>etters</w:t>
      </w:r>
      <w:r w:rsidR="00742C26" w:rsidRPr="00524404">
        <w:rPr>
          <w:rFonts w:ascii="Times New Roman" w:hAnsi="Times New Roman"/>
          <w:b/>
          <w:sz w:val="24"/>
        </w:rPr>
        <w:t xml:space="preserve"> </w:t>
      </w:r>
      <w:r w:rsidR="00F50851" w:rsidRPr="00524404">
        <w:rPr>
          <w:rFonts w:ascii="Times New Roman" w:hAnsi="Times New Roman"/>
          <w:b/>
          <w:sz w:val="24"/>
        </w:rPr>
        <w:t xml:space="preserve"> June 22, 2009)</w:t>
      </w:r>
      <w:r w:rsidR="00835243" w:rsidRPr="00524404">
        <w:rPr>
          <w:rFonts w:ascii="Times New Roman" w:hAnsi="Times New Roman"/>
          <w:b/>
          <w:sz w:val="24"/>
        </w:rPr>
        <w:t xml:space="preserve">  </w:t>
      </w:r>
      <w:r w:rsidR="00835243" w:rsidRPr="00524404">
        <w:rPr>
          <w:rFonts w:ascii="Times New Roman" w:hAnsi="Times New Roman"/>
          <w:sz w:val="24"/>
        </w:rPr>
        <w:br/>
      </w:r>
    </w:p>
    <w:p w:rsidR="00835243" w:rsidRPr="00B47969" w:rsidRDefault="00F50851" w:rsidP="00B47969">
      <w:pPr>
        <w:pStyle w:val="ListParagraph"/>
        <w:numPr>
          <w:ilvl w:val="0"/>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0"/>
        <w:rPr>
          <w:rFonts w:ascii="Times New Roman" w:hAnsi="Times New Roman"/>
          <w:sz w:val="24"/>
        </w:rPr>
      </w:pPr>
      <w:r w:rsidRPr="00B47969">
        <w:rPr>
          <w:rFonts w:ascii="Times New Roman" w:hAnsi="Times New Roman"/>
          <w:sz w:val="24"/>
        </w:rPr>
        <w:t xml:space="preserve">Contrary to defendant ANTHONY DEMARLO AND MCCURDY &amp; CANDLER LLC’s version of the facts, the Plaintiff didn’t seek injunctive relief because Defendants’ </w:t>
      </w:r>
      <w:r w:rsidR="00742C26" w:rsidRPr="00B47969">
        <w:rPr>
          <w:rFonts w:ascii="Times New Roman" w:hAnsi="Times New Roman"/>
          <w:sz w:val="24"/>
        </w:rPr>
        <w:t>simply failed to</w:t>
      </w:r>
      <w:r w:rsidRPr="00B47969">
        <w:rPr>
          <w:rFonts w:ascii="Times New Roman" w:hAnsi="Times New Roman"/>
          <w:sz w:val="24"/>
        </w:rPr>
        <w:t xml:space="preserve"> “produce the note.”  </w:t>
      </w:r>
      <w:r w:rsidR="00835243" w:rsidRPr="00B47969">
        <w:rPr>
          <w:rFonts w:ascii="Times New Roman" w:hAnsi="Times New Roman"/>
          <w:sz w:val="24"/>
        </w:rPr>
        <w:t xml:space="preserve">More egregious than simply failing to “produce the note” </w:t>
      </w:r>
      <w:r w:rsidR="0088206B" w:rsidRPr="00B47969">
        <w:rPr>
          <w:rFonts w:ascii="Times New Roman" w:hAnsi="Times New Roman"/>
          <w:sz w:val="24"/>
        </w:rPr>
        <w:t>the Defendants</w:t>
      </w:r>
      <w:r w:rsidR="00835243" w:rsidRPr="00B47969">
        <w:rPr>
          <w:rFonts w:ascii="Times New Roman" w:hAnsi="Times New Roman"/>
          <w:sz w:val="24"/>
        </w:rPr>
        <w:t xml:space="preserve">’ commenced foreclosure without having filed the security instrument or assignment vesting the secured creditor with title to the security instrument as required by Georgia Law. </w:t>
      </w:r>
      <w:r w:rsidRPr="00B47969">
        <w:rPr>
          <w:rFonts w:ascii="Times New Roman" w:hAnsi="Times New Roman"/>
          <w:sz w:val="24"/>
        </w:rPr>
        <w:t xml:space="preserve"> (Petition Page 1-3)</w:t>
      </w:r>
    </w:p>
    <w:p w:rsidR="00835243" w:rsidRDefault="00835243" w:rsidP="00B47969">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1350"/>
        <w:rPr>
          <w:rFonts w:ascii="Times New Roman" w:hAnsi="Times New Roman"/>
          <w:sz w:val="24"/>
        </w:rPr>
      </w:pPr>
    </w:p>
    <w:p w:rsidR="00F76625" w:rsidRDefault="00B741D8" w:rsidP="00B47969">
      <w:pPr>
        <w:pStyle w:val="ListParagraph"/>
        <w:numPr>
          <w:ilvl w:val="0"/>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0"/>
        <w:rPr>
          <w:rFonts w:ascii="Times New Roman" w:hAnsi="Times New Roman"/>
          <w:sz w:val="24"/>
        </w:rPr>
      </w:pPr>
      <w:r w:rsidRPr="00B47969">
        <w:rPr>
          <w:rFonts w:ascii="Times New Roman" w:hAnsi="Times New Roman"/>
          <w:sz w:val="24"/>
        </w:rPr>
        <w:t xml:space="preserve">The Defendant’s action to move to foreclosure without </w:t>
      </w:r>
      <w:r w:rsidR="0088206B" w:rsidRPr="00B47969">
        <w:rPr>
          <w:rFonts w:ascii="Times New Roman" w:hAnsi="Times New Roman"/>
          <w:sz w:val="24"/>
        </w:rPr>
        <w:t>establishing the above, and without proper recording of assignments is unlawful according to OCGA § 44-14-162</w:t>
      </w:r>
    </w:p>
    <w:p w:rsidR="00660F93" w:rsidRDefault="00660F93" w:rsidP="00B47969">
      <w:pPr>
        <w:pStyle w:val="ListParagraph"/>
        <w:rPr>
          <w:rFonts w:ascii="Times New Roman" w:hAnsi="Times New Roman"/>
          <w:sz w:val="24"/>
        </w:rPr>
      </w:pPr>
    </w:p>
    <w:p w:rsidR="00660F93" w:rsidRPr="00660F93" w:rsidRDefault="00660F93" w:rsidP="00660F93">
      <w:pPr>
        <w:pStyle w:val="ListParagraph"/>
        <w:numPr>
          <w:ilvl w:val="0"/>
          <w:numId w:val="7"/>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sidRPr="00660F93">
        <w:rPr>
          <w:rFonts w:ascii="Times New Roman" w:hAnsi="Times New Roman"/>
          <w:sz w:val="24"/>
        </w:rPr>
        <w:t>Defendant ANTHONY DEMARLO AND MCCURDY &amp; CANDLER LLC by their own admission in the July 3</w:t>
      </w:r>
      <w:r w:rsidRPr="00660F93">
        <w:rPr>
          <w:rFonts w:ascii="Times New Roman" w:hAnsi="Times New Roman"/>
          <w:sz w:val="24"/>
          <w:vertAlign w:val="superscript"/>
        </w:rPr>
        <w:t>rd</w:t>
      </w:r>
      <w:r w:rsidRPr="00660F93">
        <w:rPr>
          <w:rFonts w:ascii="Times New Roman" w:hAnsi="Times New Roman"/>
          <w:sz w:val="24"/>
        </w:rPr>
        <w:t xml:space="preserve"> Notice of Foreclosure Sale </w:t>
      </w:r>
      <w:r>
        <w:rPr>
          <w:rFonts w:ascii="Times New Roman" w:hAnsi="Times New Roman"/>
          <w:sz w:val="24"/>
        </w:rPr>
        <w:t>assert that:</w:t>
      </w:r>
      <w:r>
        <w:rPr>
          <w:rFonts w:ascii="Times New Roman" w:hAnsi="Times New Roman"/>
          <w:sz w:val="24"/>
        </w:rPr>
        <w:br/>
      </w:r>
      <w:r>
        <w:rPr>
          <w:rFonts w:ascii="Times New Roman" w:hAnsi="Times New Roman"/>
          <w:sz w:val="24"/>
        </w:rPr>
        <w:br/>
        <w:t xml:space="preserve">“THIS LAW FIRM IS ACTING AS A DEBT COLLECTOR AND IS ATTEMPTING TO COLLECT A DEBT AND ANY INFORMATION OBTAINED WILL BE USED FOR THAT PURPOSE.”  And therefore a subject to the rules of THE FAIR DEBT </w:t>
      </w:r>
      <w:r>
        <w:rPr>
          <w:rFonts w:ascii="Times New Roman" w:hAnsi="Times New Roman"/>
          <w:sz w:val="24"/>
        </w:rPr>
        <w:lastRenderedPageBreak/>
        <w:t xml:space="preserve">COLLECTION PRACTICES ACT (FDCPA), 15 U.S.C. </w:t>
      </w:r>
      <w:r w:rsidRPr="00403CCA">
        <w:rPr>
          <w:rFonts w:ascii="Times New Roman" w:hAnsi="Times New Roman"/>
          <w:sz w:val="24"/>
        </w:rPr>
        <w:t>§§</w:t>
      </w:r>
      <w:r>
        <w:rPr>
          <w:rFonts w:ascii="Times New Roman" w:hAnsi="Times New Roman"/>
          <w:sz w:val="24"/>
        </w:rPr>
        <w:t xml:space="preserve"> 1692-1692p.</w:t>
      </w:r>
      <w:r>
        <w:rPr>
          <w:rFonts w:ascii="Times New Roman" w:hAnsi="Times New Roman"/>
          <w:sz w:val="24"/>
        </w:rPr>
        <w:br/>
      </w:r>
    </w:p>
    <w:p w:rsidR="0088206B" w:rsidRDefault="0088206B" w:rsidP="0088206B">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
    <w:p w:rsidR="0088206B" w:rsidRPr="0088206B" w:rsidRDefault="0088206B" w:rsidP="0088206B">
      <w:pPr>
        <w:pBdr>
          <w:bottom w:val="single" w:sz="6" w:space="1" w:color="auto"/>
        </w:pBd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
    <w:p w:rsidR="00403CCA" w:rsidRPr="00403CCA" w:rsidRDefault="002D0354"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color w:val="FF0000"/>
          <w:sz w:val="24"/>
        </w:rPr>
      </w:pPr>
      <w:r>
        <w:rPr>
          <w:rFonts w:ascii="Times New Roman" w:hAnsi="Times New Roman"/>
          <w:color w:val="FF0000"/>
          <w:sz w:val="24"/>
        </w:rPr>
        <w:t xml:space="preserve">Plaintiff’s </w:t>
      </w:r>
      <w:r w:rsidR="00403CCA" w:rsidRPr="00403CCA">
        <w:rPr>
          <w:rFonts w:ascii="Times New Roman" w:hAnsi="Times New Roman"/>
          <w:color w:val="FF0000"/>
          <w:sz w:val="24"/>
        </w:rPr>
        <w:t xml:space="preserve">Response to </w:t>
      </w:r>
      <w:r>
        <w:rPr>
          <w:rFonts w:ascii="Times New Roman" w:hAnsi="Times New Roman"/>
          <w:color w:val="FF0000"/>
          <w:sz w:val="24"/>
        </w:rPr>
        <w:t xml:space="preserve">section </w:t>
      </w:r>
      <w:r w:rsidR="00403CCA" w:rsidRPr="00403CCA">
        <w:rPr>
          <w:rFonts w:ascii="Times New Roman" w:hAnsi="Times New Roman"/>
          <w:color w:val="FF0000"/>
          <w:sz w:val="24"/>
        </w:rPr>
        <w:t>(B)</w:t>
      </w:r>
      <w:r>
        <w:rPr>
          <w:rFonts w:ascii="Times New Roman" w:hAnsi="Times New Roman"/>
          <w:color w:val="FF0000"/>
          <w:sz w:val="24"/>
        </w:rPr>
        <w:t xml:space="preserve"> of Defendant’s Motion for Judgment on the Pleadings:</w:t>
      </w:r>
    </w:p>
    <w:p w:rsidR="00403CCA" w:rsidRDefault="00403CCA"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p>
    <w:p w:rsidR="007B4C18" w:rsidRDefault="00A04B2A"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r>
        <w:rPr>
          <w:rFonts w:ascii="Times New Roman" w:hAnsi="Times New Roman"/>
          <w:sz w:val="24"/>
        </w:rPr>
        <w:t xml:space="preserve">Defendant ANTHONY DEMARLO AND MCCURDY &amp; CANDLER LLC’s </w:t>
      </w:r>
      <w:r w:rsidR="007B4C18">
        <w:rPr>
          <w:rFonts w:ascii="Times New Roman" w:hAnsi="Times New Roman"/>
          <w:sz w:val="24"/>
        </w:rPr>
        <w:t xml:space="preserve">contention that “The Complaint fails to state a claim against these Defendants” is false. </w:t>
      </w:r>
    </w:p>
    <w:p w:rsidR="007B4C18" w:rsidRDefault="007B4C18"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p>
    <w:p w:rsidR="00655451" w:rsidRDefault="007B4C18" w:rsidP="007B4C18">
      <w:pPr>
        <w:pStyle w:val="ListParagraph"/>
        <w:numPr>
          <w:ilvl w:val="0"/>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sz w:val="24"/>
        </w:rPr>
        <w:t xml:space="preserve">Plaintiff didn’t “allege” that he sent and affidavit, he provided proof that he sent the affidavit and that it was received by Defendants asking them to verify their legal standing in this matter, and demanding that they stop foreclosure </w:t>
      </w:r>
      <w:r w:rsidR="000D3907">
        <w:rPr>
          <w:rFonts w:ascii="Times New Roman" w:hAnsi="Times New Roman"/>
          <w:sz w:val="24"/>
        </w:rPr>
        <w:t xml:space="preserve">as required by </w:t>
      </w:r>
      <w:r w:rsidR="000D3907" w:rsidRPr="00403CCA">
        <w:rPr>
          <w:rFonts w:ascii="Times New Roman" w:hAnsi="Times New Roman"/>
          <w:sz w:val="24"/>
        </w:rPr>
        <w:t>OCGA § 44-14-162</w:t>
      </w:r>
      <w:r w:rsidR="000D3907">
        <w:rPr>
          <w:rFonts w:ascii="Times New Roman" w:hAnsi="Times New Roman"/>
          <w:sz w:val="24"/>
        </w:rPr>
        <w:t xml:space="preserve"> </w:t>
      </w:r>
      <w:r>
        <w:rPr>
          <w:rFonts w:ascii="Times New Roman" w:hAnsi="Times New Roman"/>
          <w:sz w:val="24"/>
        </w:rPr>
        <w:t xml:space="preserve">until they have done so. </w:t>
      </w:r>
      <w:r w:rsidRPr="007B4C18">
        <w:rPr>
          <w:rFonts w:ascii="Times New Roman" w:hAnsi="Times New Roman"/>
          <w:b/>
          <w:sz w:val="24"/>
        </w:rPr>
        <w:t>(See Petition Attachment D Copies of Return Receipts)</w:t>
      </w:r>
      <w:r w:rsidR="000D3907">
        <w:rPr>
          <w:rFonts w:ascii="Times New Roman" w:hAnsi="Times New Roman"/>
          <w:b/>
          <w:sz w:val="24"/>
        </w:rPr>
        <w:br/>
      </w:r>
    </w:p>
    <w:p w:rsidR="000D3907" w:rsidRPr="008E4FDA" w:rsidRDefault="000D3907" w:rsidP="007B4C18">
      <w:pPr>
        <w:pStyle w:val="ListParagraph"/>
        <w:numPr>
          <w:ilvl w:val="0"/>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sz w:val="24"/>
        </w:rPr>
        <w:t>Defendant ANTHONY DEMARLO AND MCCURDY &amp; CANDLER LLC’s concern for the Plaintiff’s having been taken in by a</w:t>
      </w:r>
      <w:r w:rsidR="008E4FDA">
        <w:rPr>
          <w:rFonts w:ascii="Times New Roman" w:hAnsi="Times New Roman"/>
          <w:sz w:val="24"/>
        </w:rPr>
        <w:t xml:space="preserve"> “Produce </w:t>
      </w:r>
      <w:proofErr w:type="gramStart"/>
      <w:r w:rsidR="008E4FDA">
        <w:rPr>
          <w:rFonts w:ascii="Times New Roman" w:hAnsi="Times New Roman"/>
          <w:sz w:val="24"/>
        </w:rPr>
        <w:t>The</w:t>
      </w:r>
      <w:proofErr w:type="gramEnd"/>
      <w:r w:rsidR="008E4FDA">
        <w:rPr>
          <w:rFonts w:ascii="Times New Roman" w:hAnsi="Times New Roman"/>
          <w:sz w:val="24"/>
        </w:rPr>
        <w:t xml:space="preserve"> Note”</w:t>
      </w:r>
      <w:r>
        <w:rPr>
          <w:rFonts w:ascii="Times New Roman" w:hAnsi="Times New Roman"/>
          <w:sz w:val="24"/>
        </w:rPr>
        <w:t xml:space="preserve"> </w:t>
      </w:r>
      <w:r w:rsidR="008E4FDA">
        <w:rPr>
          <w:rFonts w:ascii="Times New Roman" w:hAnsi="Times New Roman"/>
          <w:sz w:val="24"/>
        </w:rPr>
        <w:t>I</w:t>
      </w:r>
      <w:r>
        <w:rPr>
          <w:rFonts w:ascii="Times New Roman" w:hAnsi="Times New Roman"/>
          <w:sz w:val="24"/>
        </w:rPr>
        <w:t xml:space="preserve">nternet scam is touching, but categorically false, pejorative, and shows disregard </w:t>
      </w:r>
      <w:r w:rsidR="008E4FDA">
        <w:rPr>
          <w:rFonts w:ascii="Times New Roman" w:hAnsi="Times New Roman"/>
          <w:sz w:val="24"/>
        </w:rPr>
        <w:t>for the Plaintiff’s constitutional right to defend himself.</w:t>
      </w:r>
    </w:p>
    <w:p w:rsidR="008E4FDA" w:rsidRDefault="008E4FDA" w:rsidP="007B4C18">
      <w:pPr>
        <w:pStyle w:val="ListParagraph"/>
        <w:numPr>
          <w:ilvl w:val="0"/>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sz w:val="24"/>
        </w:rPr>
        <w:t xml:space="preserve">Such a deflection is interesting, since the Plaintiff has been trying to make sure that he is not a victim of a predatory lending scam perpetuated by the Defendants or anyone else. </w:t>
      </w:r>
      <w:r w:rsidRPr="008E4FDA">
        <w:rPr>
          <w:rFonts w:ascii="Times New Roman" w:hAnsi="Times New Roman"/>
          <w:b/>
          <w:sz w:val="24"/>
        </w:rPr>
        <w:t xml:space="preserve">(See Petition Letter or Request Attachment </w:t>
      </w:r>
      <w:proofErr w:type="gramStart"/>
      <w:r w:rsidRPr="008E4FDA">
        <w:rPr>
          <w:rFonts w:ascii="Times New Roman" w:hAnsi="Times New Roman"/>
          <w:b/>
          <w:sz w:val="24"/>
        </w:rPr>
        <w:t>A</w:t>
      </w:r>
      <w:proofErr w:type="gramEnd"/>
      <w:r w:rsidR="00B0224B">
        <w:rPr>
          <w:rFonts w:ascii="Times New Roman" w:hAnsi="Times New Roman"/>
          <w:b/>
          <w:sz w:val="24"/>
        </w:rPr>
        <w:t xml:space="preserve"> April 13</w:t>
      </w:r>
      <w:r w:rsidR="00B0224B" w:rsidRPr="00B0224B">
        <w:rPr>
          <w:rFonts w:ascii="Times New Roman" w:hAnsi="Times New Roman"/>
          <w:b/>
          <w:sz w:val="24"/>
          <w:vertAlign w:val="superscript"/>
        </w:rPr>
        <w:t>th</w:t>
      </w:r>
      <w:r w:rsidR="00B0224B">
        <w:rPr>
          <w:rFonts w:ascii="Times New Roman" w:hAnsi="Times New Roman"/>
          <w:b/>
          <w:sz w:val="24"/>
        </w:rPr>
        <w:t>, 2009</w:t>
      </w:r>
      <w:r w:rsidRPr="008E4FDA">
        <w:rPr>
          <w:rFonts w:ascii="Times New Roman" w:hAnsi="Times New Roman"/>
          <w:b/>
          <w:sz w:val="24"/>
        </w:rPr>
        <w:t>)</w:t>
      </w:r>
      <w:r w:rsidR="00B0224B">
        <w:rPr>
          <w:rFonts w:ascii="Times New Roman" w:hAnsi="Times New Roman"/>
          <w:b/>
          <w:sz w:val="24"/>
        </w:rPr>
        <w:t xml:space="preserve">. </w:t>
      </w:r>
      <w:r w:rsidR="00B0224B">
        <w:rPr>
          <w:rFonts w:ascii="Times New Roman" w:hAnsi="Times New Roman"/>
          <w:b/>
          <w:sz w:val="24"/>
        </w:rPr>
        <w:br/>
      </w:r>
    </w:p>
    <w:p w:rsidR="008E4FDA" w:rsidRPr="00364244" w:rsidRDefault="008E4FDA" w:rsidP="007B4C18">
      <w:pPr>
        <w:pStyle w:val="ListParagraph"/>
        <w:numPr>
          <w:ilvl w:val="0"/>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sz w:val="24"/>
        </w:rPr>
        <w:t xml:space="preserve">The Defendant consistently </w:t>
      </w:r>
      <w:r w:rsidR="00B0224B">
        <w:rPr>
          <w:rFonts w:ascii="Times New Roman" w:hAnsi="Times New Roman"/>
          <w:sz w:val="24"/>
        </w:rPr>
        <w:t xml:space="preserve">and erroneously attempts to restate the Plaintiff’s claims to read that Defendants’ failure to “Produce </w:t>
      </w:r>
      <w:proofErr w:type="gramStart"/>
      <w:r w:rsidR="00B0224B">
        <w:rPr>
          <w:rFonts w:ascii="Times New Roman" w:hAnsi="Times New Roman"/>
          <w:sz w:val="24"/>
        </w:rPr>
        <w:t>The</w:t>
      </w:r>
      <w:proofErr w:type="gramEnd"/>
      <w:r w:rsidR="00B0224B">
        <w:rPr>
          <w:rFonts w:ascii="Times New Roman" w:hAnsi="Times New Roman"/>
          <w:sz w:val="24"/>
        </w:rPr>
        <w:t xml:space="preserve"> Note” gives rise to the petition for injunctive relief. </w:t>
      </w:r>
      <w:r w:rsidR="00364244">
        <w:rPr>
          <w:rFonts w:ascii="Times New Roman" w:hAnsi="Times New Roman"/>
          <w:sz w:val="24"/>
        </w:rPr>
        <w:br/>
      </w:r>
      <w:r w:rsidR="00364244">
        <w:rPr>
          <w:rFonts w:ascii="Times New Roman" w:hAnsi="Times New Roman"/>
          <w:sz w:val="24"/>
        </w:rPr>
        <w:br/>
      </w:r>
      <w:r w:rsidR="00B0224B">
        <w:rPr>
          <w:rFonts w:ascii="Times New Roman" w:hAnsi="Times New Roman"/>
          <w:sz w:val="24"/>
        </w:rPr>
        <w:t>The Defendant</w:t>
      </w:r>
      <w:r w:rsidR="00CC228A">
        <w:rPr>
          <w:rFonts w:ascii="Times New Roman" w:hAnsi="Times New Roman"/>
          <w:sz w:val="24"/>
        </w:rPr>
        <w:t xml:space="preserve"> ignore the other requirements to establish legal standing and the initial questions asked by the Plaintiff in his attempt to determine who the true secure creditor/holder in due course is. </w:t>
      </w:r>
      <w:r w:rsidR="00CC228A">
        <w:rPr>
          <w:rFonts w:ascii="Times New Roman" w:hAnsi="Times New Roman"/>
          <w:sz w:val="24"/>
        </w:rPr>
        <w:br/>
      </w:r>
      <w:r w:rsidR="00CC228A">
        <w:rPr>
          <w:rFonts w:ascii="Times New Roman" w:hAnsi="Times New Roman"/>
          <w:sz w:val="24"/>
        </w:rPr>
        <w:br/>
      </w:r>
      <w:r w:rsidR="00364244">
        <w:rPr>
          <w:rFonts w:ascii="Times New Roman" w:hAnsi="Times New Roman"/>
          <w:sz w:val="24"/>
        </w:rPr>
        <w:t xml:space="preserve">After having set up a straw man, the </w:t>
      </w:r>
      <w:r w:rsidR="00CC228A">
        <w:rPr>
          <w:rFonts w:ascii="Times New Roman" w:hAnsi="Times New Roman"/>
          <w:sz w:val="24"/>
        </w:rPr>
        <w:t xml:space="preserve">Defendants </w:t>
      </w:r>
      <w:r w:rsidR="00364244">
        <w:rPr>
          <w:rFonts w:ascii="Times New Roman" w:hAnsi="Times New Roman"/>
          <w:sz w:val="24"/>
        </w:rPr>
        <w:t xml:space="preserve">attack swiftly </w:t>
      </w:r>
      <w:r w:rsidR="00CC228A">
        <w:rPr>
          <w:rFonts w:ascii="Times New Roman" w:hAnsi="Times New Roman"/>
          <w:sz w:val="24"/>
        </w:rPr>
        <w:t>assert</w:t>
      </w:r>
      <w:r w:rsidR="00364244">
        <w:rPr>
          <w:rFonts w:ascii="Times New Roman" w:hAnsi="Times New Roman"/>
          <w:sz w:val="24"/>
        </w:rPr>
        <w:t>ing “</w:t>
      </w:r>
      <w:r w:rsidR="00CC228A">
        <w:rPr>
          <w:rFonts w:ascii="Times New Roman" w:hAnsi="Times New Roman"/>
          <w:sz w:val="24"/>
        </w:rPr>
        <w:t>that Plaintiff can</w:t>
      </w:r>
      <w:r w:rsidR="00364244">
        <w:rPr>
          <w:rFonts w:ascii="Times New Roman" w:hAnsi="Times New Roman"/>
          <w:sz w:val="24"/>
        </w:rPr>
        <w:t xml:space="preserve">not produce a Georgia law requiring “either a lender or its </w:t>
      </w:r>
      <w:proofErr w:type="gramStart"/>
      <w:r w:rsidR="00364244">
        <w:rPr>
          <w:rFonts w:ascii="Times New Roman" w:hAnsi="Times New Roman"/>
          <w:sz w:val="24"/>
        </w:rPr>
        <w:t>attorney conducting</w:t>
      </w:r>
      <w:proofErr w:type="gramEnd"/>
      <w:r w:rsidR="00364244">
        <w:rPr>
          <w:rFonts w:ascii="Times New Roman" w:hAnsi="Times New Roman"/>
          <w:sz w:val="24"/>
        </w:rPr>
        <w:t xml:space="preserve"> the foreclosure sale” to “Produce The Note.” </w:t>
      </w:r>
      <w:r w:rsidR="00CC228A">
        <w:rPr>
          <w:rFonts w:ascii="Times New Roman" w:hAnsi="Times New Roman"/>
          <w:sz w:val="24"/>
        </w:rPr>
        <w:t xml:space="preserve"> </w:t>
      </w:r>
      <w:r w:rsidR="00364244">
        <w:rPr>
          <w:rFonts w:ascii="Times New Roman" w:hAnsi="Times New Roman"/>
          <w:sz w:val="24"/>
        </w:rPr>
        <w:br/>
      </w:r>
    </w:p>
    <w:p w:rsidR="00117A48" w:rsidRPr="003C0905" w:rsidRDefault="00364244" w:rsidP="007B4C18">
      <w:pPr>
        <w:pStyle w:val="ListParagraph"/>
        <w:numPr>
          <w:ilvl w:val="0"/>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117A48">
        <w:rPr>
          <w:rFonts w:ascii="Times New Roman" w:hAnsi="Times New Roman"/>
          <w:sz w:val="24"/>
        </w:rPr>
        <w:t xml:space="preserve">Plaintiff holds that </w:t>
      </w:r>
      <w:r w:rsidR="008155A2" w:rsidRPr="00117A48">
        <w:rPr>
          <w:rFonts w:ascii="Times New Roman" w:hAnsi="Times New Roman"/>
          <w:sz w:val="24"/>
        </w:rPr>
        <w:t>OCGA § 44-14-162.</w:t>
      </w:r>
      <w:r w:rsidR="00117A48" w:rsidRPr="00117A48">
        <w:rPr>
          <w:rFonts w:ascii="Times New Roman" w:hAnsi="Times New Roman"/>
          <w:sz w:val="24"/>
        </w:rPr>
        <w:t>2</w:t>
      </w:r>
      <w:r w:rsidR="008155A2" w:rsidRPr="00117A48">
        <w:rPr>
          <w:rFonts w:ascii="Times New Roman" w:hAnsi="Times New Roman"/>
          <w:sz w:val="24"/>
        </w:rPr>
        <w:t xml:space="preserve"> </w:t>
      </w:r>
      <w:r w:rsidR="00117A48" w:rsidRPr="00117A48">
        <w:rPr>
          <w:rFonts w:ascii="Times New Roman" w:hAnsi="Times New Roman"/>
          <w:sz w:val="24"/>
        </w:rPr>
        <w:t xml:space="preserve"> states that </w:t>
      </w:r>
      <w:r w:rsidR="00117A48">
        <w:rPr>
          <w:rFonts w:ascii="Times New Roman" w:hAnsi="Times New Roman"/>
          <w:sz w:val="24"/>
        </w:rPr>
        <w:br/>
      </w:r>
      <w:r w:rsidR="00117A48">
        <w:rPr>
          <w:rFonts w:ascii="Times New Roman" w:hAnsi="Times New Roman"/>
          <w:sz w:val="24"/>
        </w:rPr>
        <w:br/>
        <w:t>“</w:t>
      </w:r>
      <w:r w:rsidR="008155A2" w:rsidRPr="00117A48">
        <w:rPr>
          <w:rFonts w:ascii="Times New Roman" w:hAnsi="Times New Roman"/>
          <w:sz w:val="24"/>
        </w:rPr>
        <w:t xml:space="preserve">(a) Notice of the initiation of proceedings to exercise a power of sale in a mortgage, security deed, or other lien contract shall be given to the debtor by the </w:t>
      </w:r>
      <w:r w:rsidR="008155A2" w:rsidRPr="00117A48">
        <w:rPr>
          <w:rFonts w:ascii="Times New Roman" w:hAnsi="Times New Roman"/>
          <w:b/>
          <w:sz w:val="24"/>
        </w:rPr>
        <w:t>secured creditor</w:t>
      </w:r>
      <w:r w:rsidR="008155A2" w:rsidRPr="00117A48">
        <w:rPr>
          <w:rFonts w:ascii="Times New Roman" w:hAnsi="Times New Roman"/>
          <w:sz w:val="24"/>
        </w:rPr>
        <w:t xml:space="preserve"> no later than 30 days before the date of the proposed foreclosure.</w:t>
      </w:r>
      <w:r w:rsidR="00117A48">
        <w:rPr>
          <w:rFonts w:ascii="Times New Roman" w:hAnsi="Times New Roman"/>
          <w:sz w:val="24"/>
        </w:rPr>
        <w:t xml:space="preserve">” </w:t>
      </w:r>
      <w:r w:rsidR="00117A48">
        <w:rPr>
          <w:rFonts w:ascii="Times New Roman" w:hAnsi="Times New Roman"/>
          <w:sz w:val="24"/>
        </w:rPr>
        <w:br/>
      </w:r>
      <w:r w:rsidR="00117A48">
        <w:rPr>
          <w:rFonts w:ascii="Times New Roman" w:hAnsi="Times New Roman"/>
          <w:sz w:val="24"/>
        </w:rPr>
        <w:lastRenderedPageBreak/>
        <w:br/>
        <w:t>Given that no sale or assignment of Plaintiff’s property</w:t>
      </w:r>
      <w:r w:rsidR="00C82D26">
        <w:rPr>
          <w:rFonts w:ascii="Times New Roman" w:hAnsi="Times New Roman"/>
          <w:sz w:val="24"/>
        </w:rPr>
        <w:t xml:space="preserve"> in question</w:t>
      </w:r>
      <w:r w:rsidR="00117A48">
        <w:rPr>
          <w:rFonts w:ascii="Times New Roman" w:hAnsi="Times New Roman"/>
          <w:sz w:val="24"/>
        </w:rPr>
        <w:t xml:space="preserve"> had been recorded</w:t>
      </w:r>
      <w:r w:rsidR="003C0905">
        <w:rPr>
          <w:rFonts w:ascii="Times New Roman" w:hAnsi="Times New Roman"/>
          <w:sz w:val="24"/>
        </w:rPr>
        <w:t xml:space="preserve"> in the DeKalb County Court House</w:t>
      </w:r>
      <w:r w:rsidR="00117A48">
        <w:rPr>
          <w:rFonts w:ascii="Times New Roman" w:hAnsi="Times New Roman"/>
          <w:sz w:val="24"/>
        </w:rPr>
        <w:t xml:space="preserve"> since 1999, and since not one of the Defendants</w:t>
      </w:r>
      <w:r w:rsidR="003C0905">
        <w:rPr>
          <w:rFonts w:ascii="Times New Roman" w:hAnsi="Times New Roman"/>
          <w:sz w:val="24"/>
        </w:rPr>
        <w:t xml:space="preserve"> where named on the assignment, and since not one of the Defendants </w:t>
      </w:r>
      <w:r w:rsidR="00117A48">
        <w:rPr>
          <w:rFonts w:ascii="Times New Roman" w:hAnsi="Times New Roman"/>
          <w:sz w:val="24"/>
        </w:rPr>
        <w:t>ha</w:t>
      </w:r>
      <w:r w:rsidR="00C82D26">
        <w:rPr>
          <w:rFonts w:ascii="Times New Roman" w:hAnsi="Times New Roman"/>
          <w:sz w:val="24"/>
        </w:rPr>
        <w:t>ve</w:t>
      </w:r>
      <w:r w:rsidR="00117A48">
        <w:rPr>
          <w:rFonts w:ascii="Times New Roman" w:hAnsi="Times New Roman"/>
          <w:sz w:val="24"/>
        </w:rPr>
        <w:t xml:space="preserve"> provided documentation</w:t>
      </w:r>
      <w:r w:rsidR="00C82D26">
        <w:rPr>
          <w:rFonts w:ascii="Times New Roman" w:hAnsi="Times New Roman"/>
          <w:sz w:val="24"/>
        </w:rPr>
        <w:t xml:space="preserve"> or governing master agreements</w:t>
      </w:r>
      <w:r w:rsidR="00117A48">
        <w:rPr>
          <w:rFonts w:ascii="Times New Roman" w:hAnsi="Times New Roman"/>
          <w:sz w:val="24"/>
        </w:rPr>
        <w:t xml:space="preserve"> to establish the legal chain of title</w:t>
      </w:r>
      <w:r w:rsidR="00C82D26">
        <w:rPr>
          <w:rFonts w:ascii="Times New Roman" w:hAnsi="Times New Roman"/>
          <w:sz w:val="24"/>
        </w:rPr>
        <w:t xml:space="preserve"> or other evidence </w:t>
      </w:r>
      <w:r w:rsidR="003C0905">
        <w:rPr>
          <w:rFonts w:ascii="Times New Roman" w:hAnsi="Times New Roman"/>
          <w:sz w:val="24"/>
        </w:rPr>
        <w:t xml:space="preserve">showing them </w:t>
      </w:r>
      <w:r w:rsidR="00C82D26">
        <w:rPr>
          <w:rFonts w:ascii="Times New Roman" w:hAnsi="Times New Roman"/>
          <w:sz w:val="24"/>
        </w:rPr>
        <w:t xml:space="preserve">as “creditor,” “secured creditor,” </w:t>
      </w:r>
      <w:r w:rsidR="003C0905">
        <w:rPr>
          <w:rFonts w:ascii="Times New Roman" w:hAnsi="Times New Roman"/>
          <w:sz w:val="24"/>
        </w:rPr>
        <w:t xml:space="preserve">lender </w:t>
      </w:r>
      <w:r w:rsidR="00C82D26">
        <w:rPr>
          <w:rFonts w:ascii="Times New Roman" w:hAnsi="Times New Roman"/>
          <w:sz w:val="24"/>
        </w:rPr>
        <w:t>or</w:t>
      </w:r>
      <w:r w:rsidR="003C0905">
        <w:rPr>
          <w:rFonts w:ascii="Times New Roman" w:hAnsi="Times New Roman"/>
          <w:sz w:val="24"/>
        </w:rPr>
        <w:t xml:space="preserve"> holder in due course</w:t>
      </w:r>
      <w:r w:rsidR="00C82D26">
        <w:rPr>
          <w:rFonts w:ascii="Times New Roman" w:hAnsi="Times New Roman"/>
          <w:sz w:val="24"/>
        </w:rPr>
        <w:t>, etc</w:t>
      </w:r>
      <w:r w:rsidR="003C0905">
        <w:rPr>
          <w:rFonts w:ascii="Times New Roman" w:hAnsi="Times New Roman"/>
          <w:sz w:val="24"/>
        </w:rPr>
        <w:t>, Plaintiff claims that Defendants are attempting to foreclose illegally and s</w:t>
      </w:r>
      <w:r w:rsidR="00C82D26">
        <w:rPr>
          <w:rFonts w:ascii="Times New Roman" w:hAnsi="Times New Roman"/>
          <w:sz w:val="24"/>
        </w:rPr>
        <w:t>eeks protection from the Court.</w:t>
      </w:r>
      <w:r w:rsidR="003C0905">
        <w:rPr>
          <w:rFonts w:ascii="Times New Roman" w:hAnsi="Times New Roman"/>
          <w:sz w:val="24"/>
        </w:rPr>
        <w:br/>
      </w:r>
    </w:p>
    <w:p w:rsidR="00AC769D" w:rsidRPr="00AC769D" w:rsidRDefault="00676A28" w:rsidP="00890D10">
      <w:pPr>
        <w:pStyle w:val="ListParagraph"/>
        <w:numPr>
          <w:ilvl w:val="0"/>
          <w:numId w:val="5"/>
        </w:numPr>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890D10">
        <w:rPr>
          <w:rFonts w:ascii="Times New Roman" w:hAnsi="Times New Roman"/>
          <w:sz w:val="24"/>
        </w:rPr>
        <w:t xml:space="preserve">Contrary to Defendants claim that frivolous produce the note lawsuits </w:t>
      </w:r>
      <w:r w:rsidR="00524404">
        <w:rPr>
          <w:rFonts w:ascii="Times New Roman" w:hAnsi="Times New Roman"/>
          <w:sz w:val="24"/>
        </w:rPr>
        <w:t xml:space="preserve">are </w:t>
      </w:r>
      <w:r w:rsidRPr="00890D10">
        <w:rPr>
          <w:rFonts w:ascii="Times New Roman" w:hAnsi="Times New Roman"/>
          <w:sz w:val="24"/>
        </w:rPr>
        <w:t xml:space="preserve">causing the Courts to be inundated, Plaintiff </w:t>
      </w:r>
      <w:r w:rsidR="005E71D1" w:rsidRPr="00890D10">
        <w:rPr>
          <w:rFonts w:ascii="Times New Roman" w:hAnsi="Times New Roman"/>
          <w:sz w:val="24"/>
        </w:rPr>
        <w:t>questions whether it is</w:t>
      </w:r>
      <w:r w:rsidRPr="00890D10">
        <w:rPr>
          <w:rFonts w:ascii="Times New Roman" w:hAnsi="Times New Roman"/>
          <w:sz w:val="24"/>
        </w:rPr>
        <w:t xml:space="preserve"> the Defendants’ blatant disregard for G</w:t>
      </w:r>
      <w:r w:rsidR="00B07BF3">
        <w:rPr>
          <w:rFonts w:ascii="Times New Roman" w:hAnsi="Times New Roman"/>
          <w:sz w:val="24"/>
        </w:rPr>
        <w:t>eorgia</w:t>
      </w:r>
      <w:r w:rsidRPr="00890D10">
        <w:rPr>
          <w:rFonts w:ascii="Times New Roman" w:hAnsi="Times New Roman"/>
          <w:sz w:val="24"/>
        </w:rPr>
        <w:t xml:space="preserve"> law</w:t>
      </w:r>
      <w:r w:rsidR="005E71D1" w:rsidRPr="00890D10">
        <w:rPr>
          <w:rFonts w:ascii="Times New Roman" w:hAnsi="Times New Roman"/>
          <w:sz w:val="24"/>
        </w:rPr>
        <w:t xml:space="preserve"> and ti</w:t>
      </w:r>
      <w:r w:rsidR="00B07BF3">
        <w:rPr>
          <w:rFonts w:ascii="Times New Roman" w:hAnsi="Times New Roman"/>
          <w:sz w:val="24"/>
        </w:rPr>
        <w:t>me-honored</w:t>
      </w:r>
      <w:r w:rsidR="005E71D1" w:rsidRPr="00890D10">
        <w:rPr>
          <w:rFonts w:ascii="Times New Roman" w:hAnsi="Times New Roman"/>
          <w:sz w:val="24"/>
        </w:rPr>
        <w:t xml:space="preserve"> mortgage lending/collecting practices for the inundation. Defendant ANTHONY DEMARLO AND MCCURDY &amp; CANDLER LLC returns to his straw-man </w:t>
      </w:r>
      <w:r w:rsidR="003C0905" w:rsidRPr="00890D10">
        <w:rPr>
          <w:rFonts w:ascii="Times New Roman" w:hAnsi="Times New Roman"/>
          <w:sz w:val="24"/>
        </w:rPr>
        <w:t xml:space="preserve">claim </w:t>
      </w:r>
      <w:r w:rsidR="005E71D1" w:rsidRPr="00890D10">
        <w:rPr>
          <w:rFonts w:ascii="Times New Roman" w:hAnsi="Times New Roman"/>
          <w:sz w:val="24"/>
        </w:rPr>
        <w:t>to assert that “</w:t>
      </w:r>
      <w:r w:rsidR="003C0905" w:rsidRPr="00890D10">
        <w:rPr>
          <w:rFonts w:ascii="Times New Roman" w:hAnsi="Times New Roman"/>
          <w:sz w:val="24"/>
        </w:rPr>
        <w:t xml:space="preserve">other </w:t>
      </w:r>
      <w:r w:rsidR="005E71D1" w:rsidRPr="00890D10">
        <w:rPr>
          <w:rFonts w:ascii="Times New Roman" w:hAnsi="Times New Roman"/>
          <w:sz w:val="24"/>
        </w:rPr>
        <w:t>federal courts outside Georgia have “concluded that possession of the note is not required to conduct a non</w:t>
      </w:r>
      <w:r w:rsidR="00B07BF3">
        <w:rPr>
          <w:rFonts w:ascii="Times New Roman" w:hAnsi="Times New Roman"/>
          <w:sz w:val="24"/>
        </w:rPr>
        <w:t>-</w:t>
      </w:r>
      <w:r w:rsidR="005E71D1" w:rsidRPr="00890D10">
        <w:rPr>
          <w:rFonts w:ascii="Times New Roman" w:hAnsi="Times New Roman"/>
          <w:sz w:val="24"/>
        </w:rPr>
        <w:t>judicial foreclosure sale of a security deed/trust.”</w:t>
      </w:r>
      <w:r w:rsidR="00B07BF3">
        <w:rPr>
          <w:rFonts w:ascii="Times New Roman" w:hAnsi="Times New Roman"/>
          <w:sz w:val="24"/>
        </w:rPr>
        <w:t xml:space="preserve"> Again the Plaintiff’s claims assert Defendants’ failure to follow Georgia statues</w:t>
      </w:r>
      <w:r w:rsidR="000F3166">
        <w:rPr>
          <w:rFonts w:ascii="Times New Roman" w:hAnsi="Times New Roman"/>
          <w:sz w:val="24"/>
        </w:rPr>
        <w:t xml:space="preserve"> </w:t>
      </w:r>
      <w:r w:rsidR="000F3166" w:rsidRPr="00117A48">
        <w:rPr>
          <w:rFonts w:ascii="Times New Roman" w:hAnsi="Times New Roman"/>
          <w:sz w:val="24"/>
        </w:rPr>
        <w:t>OCGA § 44-14-162.2</w:t>
      </w:r>
      <w:r w:rsidR="00B07BF3">
        <w:rPr>
          <w:rFonts w:ascii="Times New Roman" w:hAnsi="Times New Roman"/>
          <w:sz w:val="24"/>
        </w:rPr>
        <w:t xml:space="preserve"> and failure to provide</w:t>
      </w:r>
      <w:r w:rsidR="005E71D1" w:rsidRPr="00890D10">
        <w:rPr>
          <w:rFonts w:ascii="Times New Roman" w:hAnsi="Times New Roman"/>
          <w:sz w:val="24"/>
        </w:rPr>
        <w:t xml:space="preserve"> </w:t>
      </w:r>
      <w:r w:rsidR="00B07BF3">
        <w:rPr>
          <w:rFonts w:ascii="Times New Roman" w:hAnsi="Times New Roman"/>
          <w:sz w:val="24"/>
        </w:rPr>
        <w:t>requested information</w:t>
      </w:r>
      <w:r w:rsidR="000F3166">
        <w:rPr>
          <w:rFonts w:ascii="Times New Roman" w:hAnsi="Times New Roman"/>
          <w:sz w:val="24"/>
        </w:rPr>
        <w:t xml:space="preserve"> not only validating the amount of the debt, but verifying the secured creditor to whom the debt is owed</w:t>
      </w:r>
      <w:r w:rsidR="00B07BF3">
        <w:rPr>
          <w:rFonts w:ascii="Times New Roman" w:hAnsi="Times New Roman"/>
          <w:sz w:val="24"/>
        </w:rPr>
        <w:t xml:space="preserve"> as provided for under FDCPA</w:t>
      </w:r>
      <w:r w:rsidR="000F3166">
        <w:rPr>
          <w:rFonts w:ascii="Times New Roman" w:hAnsi="Times New Roman"/>
          <w:sz w:val="24"/>
        </w:rPr>
        <w:t xml:space="preserve"> </w:t>
      </w:r>
      <w:r w:rsidR="000F3166" w:rsidRPr="000F3166">
        <w:rPr>
          <w:rFonts w:ascii="Times New Roman" w:hAnsi="Times New Roman"/>
          <w:b/>
          <w:sz w:val="24"/>
        </w:rPr>
        <w:t>(See Petition Attachment C, Affidavit of Notice, Pages 1-2)</w:t>
      </w:r>
      <w:r w:rsidR="00B07BF3">
        <w:rPr>
          <w:rFonts w:ascii="Times New Roman" w:hAnsi="Times New Roman"/>
          <w:sz w:val="24"/>
        </w:rPr>
        <w:t xml:space="preserve">.  </w:t>
      </w:r>
      <w:r w:rsidR="000F3166">
        <w:rPr>
          <w:rFonts w:ascii="Times New Roman" w:hAnsi="Times New Roman"/>
          <w:sz w:val="24"/>
        </w:rPr>
        <w:br/>
      </w:r>
      <w:r w:rsidR="000F3166">
        <w:rPr>
          <w:rFonts w:ascii="Times New Roman" w:hAnsi="Times New Roman"/>
          <w:sz w:val="24"/>
        </w:rPr>
        <w:br/>
        <w:t>When he looks at federal cases outside of Georgia, h</w:t>
      </w:r>
      <w:r w:rsidR="005E71D1" w:rsidRPr="00890D10">
        <w:rPr>
          <w:rFonts w:ascii="Times New Roman" w:hAnsi="Times New Roman"/>
          <w:sz w:val="24"/>
        </w:rPr>
        <w:t>e ignores the fact that other federal courts outside of Georgia have held that</w:t>
      </w:r>
      <w:r w:rsidR="001D2732" w:rsidRPr="00890D10">
        <w:rPr>
          <w:rFonts w:ascii="Times New Roman" w:hAnsi="Times New Roman"/>
          <w:sz w:val="24"/>
        </w:rPr>
        <w:t>:</w:t>
      </w:r>
      <w:r w:rsidR="005E71D1" w:rsidRPr="00890D10">
        <w:rPr>
          <w:rFonts w:ascii="Times New Roman" w:hAnsi="Times New Roman"/>
          <w:sz w:val="24"/>
        </w:rPr>
        <w:t xml:space="preserve"> </w:t>
      </w:r>
      <w:r w:rsidR="00AC769D">
        <w:rPr>
          <w:rFonts w:ascii="Times New Roman" w:hAnsi="Times New Roman"/>
          <w:sz w:val="24"/>
        </w:rPr>
        <w:br/>
      </w:r>
    </w:p>
    <w:p w:rsidR="00AC769D" w:rsidRPr="00AC769D" w:rsidRDefault="005E71D1" w:rsidP="00AC769D">
      <w:pPr>
        <w:pStyle w:val="ListParagraph"/>
        <w:numPr>
          <w:ilvl w:val="1"/>
          <w:numId w:val="5"/>
        </w:numPr>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890D10">
        <w:rPr>
          <w:rFonts w:ascii="Times New Roman" w:hAnsi="Times New Roman"/>
          <w:sz w:val="24"/>
        </w:rPr>
        <w:t xml:space="preserve">“The blank mortgage assignments they possessed transferred nothing… in </w:t>
      </w:r>
      <w:proofErr w:type="spellStart"/>
      <w:proofErr w:type="gramStart"/>
      <w:r w:rsidRPr="00890D10">
        <w:rPr>
          <w:rFonts w:ascii="Times New Roman" w:hAnsi="Times New Roman"/>
          <w:sz w:val="24"/>
        </w:rPr>
        <w:t>Massaschusetts</w:t>
      </w:r>
      <w:proofErr w:type="spellEnd"/>
      <w:r w:rsidRPr="00890D10">
        <w:rPr>
          <w:rFonts w:ascii="Times New Roman" w:hAnsi="Times New Roman"/>
          <w:sz w:val="24"/>
        </w:rPr>
        <w:t>,</w:t>
      </w:r>
      <w:proofErr w:type="gramEnd"/>
      <w:r w:rsidRPr="00890D10">
        <w:rPr>
          <w:rFonts w:ascii="Times New Roman" w:hAnsi="Times New Roman"/>
          <w:sz w:val="24"/>
        </w:rPr>
        <w:t xml:space="preserve"> a mortgage is a conveyance of land. Nothing is conveyed unless and until it is various agreements between the securitization </w:t>
      </w:r>
      <w:r w:rsidR="001D2732" w:rsidRPr="00890D10">
        <w:rPr>
          <w:rFonts w:ascii="Times New Roman" w:hAnsi="Times New Roman"/>
          <w:sz w:val="24"/>
        </w:rPr>
        <w:t>entities</w:t>
      </w:r>
      <w:r w:rsidRPr="00890D10">
        <w:rPr>
          <w:rFonts w:ascii="Times New Roman" w:hAnsi="Times New Roman"/>
          <w:sz w:val="24"/>
        </w:rPr>
        <w:t xml:space="preserve"> stating that each had a right to an assignment and they are certainly not in recordable form”</w:t>
      </w:r>
      <w:r w:rsidR="001D2732" w:rsidRPr="00890D10">
        <w:rPr>
          <w:rFonts w:ascii="Times New Roman" w:hAnsi="Times New Roman"/>
          <w:sz w:val="24"/>
        </w:rPr>
        <w:t xml:space="preserve"> (U.S. Bank National Association v. Ibanez, Massachusetts Land Court </w:t>
      </w:r>
      <w:proofErr w:type="spellStart"/>
      <w:r w:rsidR="001D2732" w:rsidRPr="00890D10">
        <w:rPr>
          <w:rFonts w:ascii="Times New Roman" w:hAnsi="Times New Roman"/>
          <w:sz w:val="24"/>
        </w:rPr>
        <w:t>Msc</w:t>
      </w:r>
      <w:proofErr w:type="spellEnd"/>
      <w:r w:rsidR="001D2732" w:rsidRPr="00890D10">
        <w:rPr>
          <w:rFonts w:ascii="Times New Roman" w:hAnsi="Times New Roman"/>
          <w:sz w:val="24"/>
        </w:rPr>
        <w:t>. Case No. 384283, consolidated with two other cases, Oct, 2009)</w:t>
      </w:r>
      <w:r w:rsidR="00AC769D">
        <w:rPr>
          <w:rFonts w:ascii="Times New Roman" w:hAnsi="Times New Roman"/>
          <w:sz w:val="24"/>
        </w:rPr>
        <w:br/>
      </w:r>
    </w:p>
    <w:p w:rsidR="00276CF7" w:rsidRPr="00276CF7" w:rsidRDefault="000A0870" w:rsidP="00AC769D">
      <w:pPr>
        <w:pStyle w:val="ListParagraph"/>
        <w:numPr>
          <w:ilvl w:val="1"/>
          <w:numId w:val="5"/>
        </w:numPr>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890D10">
        <w:rPr>
          <w:rFonts w:ascii="Times New Roman" w:hAnsi="Times New Roman"/>
          <w:sz w:val="24"/>
        </w:rPr>
        <w:t>According to the NY Daily News Wednesday, Oct</w:t>
      </w:r>
      <w:r w:rsidR="00890D10">
        <w:rPr>
          <w:rFonts w:ascii="Times New Roman" w:hAnsi="Times New Roman"/>
          <w:sz w:val="24"/>
        </w:rPr>
        <w:t>.</w:t>
      </w:r>
      <w:r w:rsidRPr="00890D10">
        <w:rPr>
          <w:rFonts w:ascii="Times New Roman" w:hAnsi="Times New Roman"/>
          <w:sz w:val="24"/>
        </w:rPr>
        <w:t xml:space="preserve"> 20, 2010:</w:t>
      </w:r>
      <w:r w:rsidRPr="00890D10">
        <w:rPr>
          <w:rFonts w:ascii="Times New Roman" w:hAnsi="Times New Roman"/>
          <w:sz w:val="24"/>
        </w:rPr>
        <w:br/>
      </w:r>
      <w:r w:rsidRPr="00890D10">
        <w:rPr>
          <w:rFonts w:ascii="Times New Roman" w:hAnsi="Times New Roman"/>
          <w:sz w:val="24"/>
        </w:rPr>
        <w:br/>
      </w:r>
      <w:r w:rsidR="00890D10" w:rsidRPr="00890D10">
        <w:rPr>
          <w:rFonts w:ascii="Times New Roman" w:hAnsi="Times New Roman"/>
          <w:sz w:val="24"/>
        </w:rPr>
        <w:t xml:space="preserve">“New York has become the first state in the nation to implement a new filing requirement for residential foreclosures. Lenders’ counsel are now going to be required to file an affirmation with the NY courts certifying they have reviewed and verified the accuracy of the papers being filed for the foreclosure actions.  The goal of the New York courts is to prevent wrongful foreclosures. New York is one of the judicial foreclosure states. </w:t>
      </w:r>
      <w:r w:rsidR="00890D10" w:rsidRPr="00890D10">
        <w:rPr>
          <w:rFonts w:ascii="Times New Roman" w:hAnsi="Times New Roman"/>
          <w:sz w:val="24"/>
        </w:rPr>
        <w:br/>
      </w:r>
      <w:r w:rsidR="00890D10" w:rsidRPr="00890D10">
        <w:rPr>
          <w:rFonts w:ascii="Times New Roman" w:hAnsi="Times New Roman"/>
          <w:sz w:val="24"/>
        </w:rPr>
        <w:br/>
        <w:t xml:space="preserve">Chief Judge Jonathan </w:t>
      </w:r>
      <w:proofErr w:type="spellStart"/>
      <w:r w:rsidR="00890D10" w:rsidRPr="00890D10">
        <w:rPr>
          <w:rFonts w:ascii="Times New Roman" w:hAnsi="Times New Roman"/>
          <w:sz w:val="24"/>
        </w:rPr>
        <w:t>Lippman</w:t>
      </w:r>
      <w:proofErr w:type="spellEnd"/>
      <w:r w:rsidR="00890D10" w:rsidRPr="00890D10">
        <w:rPr>
          <w:rFonts w:ascii="Times New Roman" w:hAnsi="Times New Roman"/>
          <w:sz w:val="24"/>
        </w:rPr>
        <w:t xml:space="preserve"> introduced the new filing requirement in response to the </w:t>
      </w:r>
      <w:proofErr w:type="spellStart"/>
      <w:r w:rsidR="00890D10" w:rsidRPr="00890D10">
        <w:rPr>
          <w:rFonts w:ascii="Times New Roman" w:hAnsi="Times New Roman"/>
          <w:sz w:val="24"/>
        </w:rPr>
        <w:t>robo</w:t>
      </w:r>
      <w:proofErr w:type="spellEnd"/>
      <w:r w:rsidR="00890D10" w:rsidRPr="00890D10">
        <w:rPr>
          <w:rFonts w:ascii="Times New Roman" w:hAnsi="Times New Roman"/>
          <w:sz w:val="24"/>
        </w:rPr>
        <w:t xml:space="preserve">-signers scandal by major mortgage lenders and servicers such as Bank of </w:t>
      </w:r>
      <w:r w:rsidR="00890D10" w:rsidRPr="00890D10">
        <w:rPr>
          <w:rFonts w:ascii="Times New Roman" w:hAnsi="Times New Roman"/>
          <w:sz w:val="24"/>
        </w:rPr>
        <w:lastRenderedPageBreak/>
        <w:t xml:space="preserve">America, </w:t>
      </w:r>
      <w:r w:rsidR="00890D10" w:rsidRPr="00F33264">
        <w:rPr>
          <w:rFonts w:ascii="Times New Roman" w:hAnsi="Times New Roman"/>
          <w:b/>
          <w:sz w:val="24"/>
        </w:rPr>
        <w:t>GMAC Mortgage</w:t>
      </w:r>
      <w:r w:rsidR="00890D10" w:rsidRPr="00890D10">
        <w:rPr>
          <w:rFonts w:ascii="Times New Roman" w:hAnsi="Times New Roman"/>
          <w:sz w:val="24"/>
        </w:rPr>
        <w:t xml:space="preserve"> and </w:t>
      </w:r>
      <w:r w:rsidR="00890D10" w:rsidRPr="00F33264">
        <w:rPr>
          <w:rFonts w:ascii="Times New Roman" w:hAnsi="Times New Roman"/>
          <w:b/>
          <w:sz w:val="24"/>
        </w:rPr>
        <w:t>JPMorgan Chase</w:t>
      </w:r>
      <w:r w:rsidR="00890D10" w:rsidRPr="00890D10">
        <w:rPr>
          <w:rFonts w:ascii="Times New Roman" w:hAnsi="Times New Roman"/>
          <w:sz w:val="24"/>
        </w:rPr>
        <w:t xml:space="preserve">. This scandal that many are calling </w:t>
      </w:r>
      <w:proofErr w:type="spellStart"/>
      <w:proofErr w:type="gramStart"/>
      <w:r w:rsidR="00890D10" w:rsidRPr="00890D10">
        <w:rPr>
          <w:rFonts w:ascii="Times New Roman" w:hAnsi="Times New Roman"/>
          <w:sz w:val="24"/>
        </w:rPr>
        <w:t>ForeclosureGate</w:t>
      </w:r>
      <w:proofErr w:type="spellEnd"/>
      <w:r w:rsidR="00890D10" w:rsidRPr="00890D10">
        <w:rPr>
          <w:rFonts w:ascii="Times New Roman" w:hAnsi="Times New Roman"/>
          <w:sz w:val="24"/>
        </w:rPr>
        <w:t>,</w:t>
      </w:r>
      <w:proofErr w:type="gramEnd"/>
      <w:r w:rsidR="00890D10" w:rsidRPr="00890D10">
        <w:rPr>
          <w:rFonts w:ascii="Times New Roman" w:hAnsi="Times New Roman"/>
          <w:sz w:val="24"/>
        </w:rPr>
        <w:t xml:space="preserve"> is having new details come to light on a daily basis that proper procedures may not have been followed.</w:t>
      </w:r>
      <w:r w:rsidR="00890D10" w:rsidRPr="00890D10">
        <w:rPr>
          <w:rFonts w:ascii="Times New Roman" w:hAnsi="Times New Roman"/>
          <w:sz w:val="24"/>
        </w:rPr>
        <w:br/>
      </w:r>
      <w:r w:rsidR="00890D10" w:rsidRPr="00890D10">
        <w:rPr>
          <w:rFonts w:ascii="Times New Roman" w:hAnsi="Times New Roman"/>
          <w:sz w:val="24"/>
        </w:rPr>
        <w:br/>
        <w:t>This new requirement will be effective immediately and was done with the approval of the presiding justices of all four judicial departments.</w:t>
      </w:r>
      <w:r w:rsidR="00890D10">
        <w:rPr>
          <w:rFonts w:ascii="Times New Roman" w:hAnsi="Times New Roman"/>
          <w:sz w:val="24"/>
        </w:rPr>
        <w:br/>
      </w:r>
      <w:r w:rsidR="00890D10">
        <w:rPr>
          <w:rFonts w:ascii="Times New Roman" w:hAnsi="Times New Roman"/>
          <w:sz w:val="24"/>
        </w:rPr>
        <w:br/>
      </w:r>
      <w:r w:rsidR="00890D10" w:rsidRPr="00890D10">
        <w:rPr>
          <w:rFonts w:ascii="Times New Roman" w:hAnsi="Times New Roman"/>
          <w:sz w:val="24"/>
        </w:rPr>
        <w:t xml:space="preserve">Said Chief Judge </w:t>
      </w:r>
      <w:proofErr w:type="spellStart"/>
      <w:r w:rsidR="00890D10" w:rsidRPr="00890D10">
        <w:rPr>
          <w:rFonts w:ascii="Times New Roman" w:hAnsi="Times New Roman"/>
          <w:sz w:val="24"/>
        </w:rPr>
        <w:t>Lippman</w:t>
      </w:r>
      <w:proofErr w:type="spellEnd"/>
      <w:r w:rsidR="00890D10" w:rsidRPr="00890D10">
        <w:rPr>
          <w:rFonts w:ascii="Times New Roman" w:hAnsi="Times New Roman"/>
          <w:sz w:val="24"/>
        </w:rPr>
        <w:t xml:space="preserve"> in a statement, “We cannot allow the courts in New York State to stand by idly and be party to what we now know is a deeply flawed process, especially when that process involves basic human needs – such as a family home – during this period of economic crisis. This new filing requirement will play a vital role in ensuring that the documents judges rely on will be thoroughly examined, accurate, and error-free before any judge is asked to take the drastic step of foreclosure.”</w:t>
      </w:r>
    </w:p>
    <w:p w:rsidR="00276CF7" w:rsidRPr="00276CF7" w:rsidRDefault="00276CF7" w:rsidP="00AC769D">
      <w:pPr>
        <w:pStyle w:val="ListParagraph"/>
        <w:numPr>
          <w:ilvl w:val="1"/>
          <w:numId w:val="5"/>
        </w:numPr>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sz w:val="24"/>
        </w:rPr>
        <w:t>Kenton County, Kentucky has also enacted a general order for its court system related to foreclosures:</w:t>
      </w:r>
    </w:p>
    <w:p w:rsidR="00AC769D" w:rsidRPr="00AC769D" w:rsidRDefault="00276CF7" w:rsidP="00276CF7">
      <w:pPr>
        <w:pStyle w:val="ListParagraph"/>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ind w:left="1170"/>
        <w:rPr>
          <w:rFonts w:ascii="Times New Roman" w:hAnsi="Times New Roman"/>
          <w:b/>
          <w:sz w:val="24"/>
        </w:rPr>
      </w:pPr>
      <w:r w:rsidRPr="00276CF7">
        <w:rPr>
          <w:rFonts w:ascii="Times New Roman" w:hAnsi="Times New Roman"/>
          <w:sz w:val="24"/>
        </w:rPr>
        <w:t>The order requires all foreclosure complaints in Kenton County to be accompanied by an affidavit certifying that the plaintiff is the owner and holder of the note and mortgage and identifying the plaintiff as the original holder or an assignee, trustee, or successor in interest of the original holder.</w:t>
      </w:r>
      <w:r w:rsidR="00AC769D">
        <w:rPr>
          <w:rFonts w:ascii="Times New Roman" w:hAnsi="Times New Roman"/>
          <w:sz w:val="24"/>
        </w:rPr>
        <w:br/>
      </w:r>
    </w:p>
    <w:p w:rsidR="001D2732" w:rsidRPr="005E71D1" w:rsidRDefault="001D2732" w:rsidP="001D2732">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450"/>
        <w:rPr>
          <w:rFonts w:ascii="Times New Roman" w:hAnsi="Times New Roman"/>
          <w:b/>
          <w:sz w:val="24"/>
        </w:rPr>
      </w:pPr>
    </w:p>
    <w:p w:rsidR="00FD5EA5" w:rsidRDefault="003C0905" w:rsidP="00F33264">
      <w:pPr>
        <w:pStyle w:val="ListParagraph"/>
        <w:numPr>
          <w:ilvl w:val="1"/>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sidRPr="00981AEB">
        <w:rPr>
          <w:rFonts w:ascii="Times New Roman" w:hAnsi="Times New Roman"/>
          <w:sz w:val="24"/>
        </w:rPr>
        <w:t xml:space="preserve"> </w:t>
      </w:r>
      <w:r w:rsidR="00B47969" w:rsidRPr="00981AEB">
        <w:rPr>
          <w:rFonts w:ascii="Times New Roman" w:hAnsi="Times New Roman"/>
          <w:sz w:val="24"/>
        </w:rPr>
        <w:t>Defendant ANTHONY DEMARLO AND MCCURDY &amp; CANDLER LLC by their own admission we’re acting as debt collectors</w:t>
      </w:r>
      <w:r w:rsidR="00981AEB" w:rsidRPr="00981AEB">
        <w:rPr>
          <w:rFonts w:ascii="Times New Roman" w:hAnsi="Times New Roman"/>
          <w:sz w:val="24"/>
        </w:rPr>
        <w:t xml:space="preserve">, and as </w:t>
      </w:r>
      <w:r w:rsidR="00524404">
        <w:rPr>
          <w:rFonts w:ascii="Times New Roman" w:hAnsi="Times New Roman"/>
          <w:sz w:val="24"/>
        </w:rPr>
        <w:t xml:space="preserve">such </w:t>
      </w:r>
      <w:r w:rsidR="00981AEB" w:rsidRPr="00981AEB">
        <w:rPr>
          <w:rFonts w:ascii="Times New Roman" w:hAnsi="Times New Roman"/>
          <w:sz w:val="24"/>
        </w:rPr>
        <w:t>violated the FDCPA by commencing foreclosure proceeding before the requisite assignments</w:t>
      </w:r>
      <w:r w:rsidR="00B07BF3">
        <w:rPr>
          <w:rFonts w:ascii="Times New Roman" w:hAnsi="Times New Roman"/>
          <w:sz w:val="24"/>
        </w:rPr>
        <w:t xml:space="preserve"> </w:t>
      </w:r>
      <w:r w:rsidR="00981AEB" w:rsidRPr="00981AEB">
        <w:rPr>
          <w:rFonts w:ascii="Times New Roman" w:hAnsi="Times New Roman"/>
          <w:sz w:val="24"/>
        </w:rPr>
        <w:t xml:space="preserve">had been filed </w:t>
      </w:r>
      <w:r w:rsidR="00B07BF3">
        <w:rPr>
          <w:rFonts w:ascii="Times New Roman" w:hAnsi="Times New Roman"/>
          <w:sz w:val="24"/>
        </w:rPr>
        <w:t xml:space="preserve">according to </w:t>
      </w:r>
      <w:proofErr w:type="spellStart"/>
      <w:r w:rsidR="00B07BF3">
        <w:rPr>
          <w:rFonts w:ascii="Times New Roman" w:hAnsi="Times New Roman"/>
          <w:sz w:val="24"/>
        </w:rPr>
        <w:t>Georga</w:t>
      </w:r>
      <w:proofErr w:type="spellEnd"/>
      <w:r w:rsidR="00B07BF3">
        <w:rPr>
          <w:rFonts w:ascii="Times New Roman" w:hAnsi="Times New Roman"/>
          <w:sz w:val="24"/>
        </w:rPr>
        <w:t xml:space="preserve"> law, </w:t>
      </w:r>
      <w:r w:rsidR="00981AEB" w:rsidRPr="00981AEB">
        <w:rPr>
          <w:rFonts w:ascii="Times New Roman" w:hAnsi="Times New Roman"/>
          <w:sz w:val="24"/>
        </w:rPr>
        <w:t xml:space="preserve">and ignoring Plaintiff’s request for substantiation of legal standing of the parties </w:t>
      </w:r>
      <w:r w:rsidR="00B07BF3">
        <w:rPr>
          <w:rFonts w:ascii="Times New Roman" w:hAnsi="Times New Roman"/>
          <w:sz w:val="24"/>
        </w:rPr>
        <w:t>for whom they were acting as Debt Collector</w:t>
      </w:r>
      <w:r w:rsidR="00981AEB" w:rsidRPr="00981AEB">
        <w:rPr>
          <w:rFonts w:ascii="Times New Roman" w:hAnsi="Times New Roman"/>
          <w:sz w:val="24"/>
        </w:rPr>
        <w:t xml:space="preserve">. Not only are the New York Courts </w:t>
      </w:r>
      <w:r w:rsidR="00524404">
        <w:rPr>
          <w:rFonts w:ascii="Times New Roman" w:hAnsi="Times New Roman"/>
          <w:sz w:val="24"/>
        </w:rPr>
        <w:t>making a firm requirement for</w:t>
      </w:r>
      <w:r w:rsidR="00FD5EA5">
        <w:rPr>
          <w:rFonts w:ascii="Times New Roman" w:hAnsi="Times New Roman"/>
          <w:sz w:val="24"/>
        </w:rPr>
        <w:t xml:space="preserve"> attorneys making sure that they are foreclosing legally, and acting in good faith, </w:t>
      </w:r>
      <w:r w:rsidR="00981AEB" w:rsidRPr="00981AEB">
        <w:rPr>
          <w:rFonts w:ascii="Times New Roman" w:hAnsi="Times New Roman"/>
          <w:sz w:val="24"/>
        </w:rPr>
        <w:t xml:space="preserve">the </w:t>
      </w:r>
      <w:r w:rsidR="00981AEB" w:rsidRPr="000F3166">
        <w:rPr>
          <w:rFonts w:ascii="Times New Roman" w:hAnsi="Times New Roman"/>
          <w:b/>
          <w:sz w:val="24"/>
        </w:rPr>
        <w:t xml:space="preserve">US Supreme Court’s 7-2 ruling in </w:t>
      </w:r>
      <w:r w:rsidR="00B47969" w:rsidRPr="000F3166">
        <w:rPr>
          <w:rFonts w:ascii="Times New Roman" w:hAnsi="Times New Roman"/>
          <w:b/>
          <w:sz w:val="24"/>
        </w:rPr>
        <w:t xml:space="preserve"> </w:t>
      </w:r>
      <w:proofErr w:type="spellStart"/>
      <w:r w:rsidR="00B47969" w:rsidRPr="000F3166">
        <w:rPr>
          <w:rFonts w:ascii="Times New Roman" w:hAnsi="Times New Roman"/>
          <w:b/>
          <w:sz w:val="24"/>
        </w:rPr>
        <w:t>Jerman</w:t>
      </w:r>
      <w:proofErr w:type="spellEnd"/>
      <w:r w:rsidR="00B47969" w:rsidRPr="000F3166">
        <w:rPr>
          <w:rFonts w:ascii="Times New Roman" w:hAnsi="Times New Roman"/>
          <w:b/>
          <w:sz w:val="24"/>
        </w:rPr>
        <w:t xml:space="preserve"> v. Carlisle, </w:t>
      </w:r>
      <w:proofErr w:type="spellStart"/>
      <w:r w:rsidR="00B47969" w:rsidRPr="000F3166">
        <w:rPr>
          <w:rFonts w:ascii="Times New Roman" w:hAnsi="Times New Roman"/>
          <w:b/>
          <w:sz w:val="24"/>
        </w:rPr>
        <w:t>McNee</w:t>
      </w:r>
      <w:r w:rsidR="00FD5EA5" w:rsidRPr="000F3166">
        <w:rPr>
          <w:rFonts w:ascii="Times New Roman" w:hAnsi="Times New Roman"/>
          <w:b/>
          <w:sz w:val="24"/>
        </w:rPr>
        <w:t>lie</w:t>
      </w:r>
      <w:proofErr w:type="spellEnd"/>
      <w:r w:rsidR="00FD5EA5" w:rsidRPr="000F3166">
        <w:rPr>
          <w:rFonts w:ascii="Times New Roman" w:hAnsi="Times New Roman"/>
          <w:b/>
          <w:sz w:val="24"/>
        </w:rPr>
        <w:t xml:space="preserve">, RINI, </w:t>
      </w:r>
      <w:proofErr w:type="spellStart"/>
      <w:r w:rsidR="00FD5EA5" w:rsidRPr="000F3166">
        <w:rPr>
          <w:rFonts w:ascii="Times New Roman" w:hAnsi="Times New Roman"/>
          <w:b/>
          <w:sz w:val="24"/>
        </w:rPr>
        <w:t>Dramer</w:t>
      </w:r>
      <w:proofErr w:type="spellEnd"/>
      <w:r w:rsidR="00FD5EA5" w:rsidRPr="000F3166">
        <w:rPr>
          <w:rFonts w:ascii="Times New Roman" w:hAnsi="Times New Roman"/>
          <w:b/>
          <w:sz w:val="24"/>
        </w:rPr>
        <w:t xml:space="preserve"> &amp; Ulrich LPA</w:t>
      </w:r>
      <w:r w:rsidR="00B07BF3" w:rsidRPr="000F3166">
        <w:rPr>
          <w:rFonts w:ascii="Times New Roman" w:hAnsi="Times New Roman"/>
          <w:b/>
          <w:sz w:val="24"/>
        </w:rPr>
        <w:t xml:space="preserve"> (No. 08-1200 Argued January 13</w:t>
      </w:r>
      <w:r w:rsidR="00B07BF3" w:rsidRPr="000F3166">
        <w:rPr>
          <w:rFonts w:ascii="Times New Roman" w:hAnsi="Times New Roman"/>
          <w:b/>
          <w:sz w:val="24"/>
          <w:vertAlign w:val="superscript"/>
        </w:rPr>
        <w:t>th</w:t>
      </w:r>
      <w:r w:rsidR="00B07BF3" w:rsidRPr="000F3166">
        <w:rPr>
          <w:rFonts w:ascii="Times New Roman" w:hAnsi="Times New Roman"/>
          <w:b/>
          <w:sz w:val="24"/>
        </w:rPr>
        <w:t>, 2010 – Decided April 21, 2010)</w:t>
      </w:r>
      <w:r w:rsidR="00B07BF3">
        <w:rPr>
          <w:rFonts w:ascii="Times New Roman" w:hAnsi="Times New Roman"/>
          <w:sz w:val="24"/>
        </w:rPr>
        <w:t xml:space="preserve"> </w:t>
      </w:r>
      <w:r w:rsidR="00FD5EA5">
        <w:rPr>
          <w:rFonts w:ascii="Times New Roman" w:hAnsi="Times New Roman"/>
          <w:sz w:val="24"/>
        </w:rPr>
        <w:t xml:space="preserve"> </w:t>
      </w:r>
      <w:r w:rsidR="00524404">
        <w:rPr>
          <w:rFonts w:ascii="Times New Roman" w:hAnsi="Times New Roman"/>
          <w:sz w:val="24"/>
        </w:rPr>
        <w:t>is</w:t>
      </w:r>
      <w:r w:rsidR="00FD5EA5">
        <w:rPr>
          <w:rFonts w:ascii="Times New Roman" w:hAnsi="Times New Roman"/>
          <w:sz w:val="24"/>
        </w:rPr>
        <w:t xml:space="preserve"> making sure that debt collectors are treated like everyone else when violating a federal statute, and that unlawful behavior will not be excused, and will be punished to the fullest extent of the law. Specifically, t</w:t>
      </w:r>
      <w:r w:rsidR="00B47969" w:rsidRPr="00FD5EA5">
        <w:rPr>
          <w:rFonts w:ascii="Times New Roman" w:hAnsi="Times New Roman"/>
          <w:sz w:val="24"/>
        </w:rPr>
        <w:t xml:space="preserve">he Supreme Court held that the </w:t>
      </w:r>
      <w:r w:rsidR="00FD5EA5">
        <w:rPr>
          <w:rFonts w:ascii="Times New Roman" w:hAnsi="Times New Roman"/>
          <w:sz w:val="24"/>
        </w:rPr>
        <w:br/>
      </w:r>
    </w:p>
    <w:p w:rsidR="00FD5EA5" w:rsidRDefault="00B47969" w:rsidP="00FD5EA5">
      <w:pPr>
        <w:pStyle w:val="ListParagraph"/>
        <w:numPr>
          <w:ilvl w:val="2"/>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sidRPr="00FD5EA5">
        <w:rPr>
          <w:rFonts w:ascii="Times New Roman" w:hAnsi="Times New Roman"/>
          <w:sz w:val="24"/>
        </w:rPr>
        <w:t>“</w:t>
      </w:r>
      <w:proofErr w:type="gramStart"/>
      <w:r w:rsidRPr="00FD5EA5">
        <w:rPr>
          <w:rFonts w:ascii="Times New Roman" w:hAnsi="Times New Roman"/>
          <w:sz w:val="24"/>
        </w:rPr>
        <w:t>bona</w:t>
      </w:r>
      <w:proofErr w:type="gramEnd"/>
      <w:r w:rsidRPr="00FD5EA5">
        <w:rPr>
          <w:rFonts w:ascii="Times New Roman" w:hAnsi="Times New Roman"/>
          <w:sz w:val="24"/>
        </w:rPr>
        <w:t xml:space="preserve"> fide error defense in §1692k(c) does not apply to a violation of the</w:t>
      </w:r>
      <w:r w:rsidR="00981AEB" w:rsidRPr="00FD5EA5">
        <w:rPr>
          <w:rFonts w:ascii="Times New Roman" w:hAnsi="Times New Roman"/>
          <w:sz w:val="24"/>
        </w:rPr>
        <w:t xml:space="preserve"> </w:t>
      </w:r>
      <w:r w:rsidRPr="00FD5EA5">
        <w:rPr>
          <w:rFonts w:ascii="Times New Roman" w:hAnsi="Times New Roman"/>
          <w:sz w:val="24"/>
        </w:rPr>
        <w:t>FDCPA resulting from a debt collector’s incorrect interpretation of the requirements of that statute.</w:t>
      </w:r>
      <w:r w:rsidR="00FD5EA5" w:rsidRPr="00FD5EA5">
        <w:rPr>
          <w:rFonts w:ascii="Times New Roman" w:hAnsi="Times New Roman"/>
          <w:sz w:val="24"/>
        </w:rPr>
        <w:t>”</w:t>
      </w:r>
      <w:r w:rsidR="00FD5EA5">
        <w:rPr>
          <w:rFonts w:ascii="Times New Roman" w:hAnsi="Times New Roman"/>
          <w:sz w:val="24"/>
        </w:rPr>
        <w:br/>
      </w:r>
    </w:p>
    <w:p w:rsidR="00FD5EA5" w:rsidRPr="00FD5EA5" w:rsidRDefault="00FD5EA5" w:rsidP="00FD5EA5">
      <w:pPr>
        <w:pStyle w:val="ListParagraph"/>
        <w:numPr>
          <w:ilvl w:val="2"/>
          <w:numId w:val="5"/>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sidRPr="00FD5EA5">
        <w:rPr>
          <w:rFonts w:ascii="Times New Roman" w:hAnsi="Times New Roman"/>
          <w:sz w:val="24"/>
        </w:rPr>
        <w:lastRenderedPageBreak/>
        <w:t>Given the absence of similar language in §1692k(c), it is fair to infer that Congress permitted injured consumers to recover damages for “intentional” conduct, including violations resulting from a mistaken interpretation of the FDCPA, while reserving the more onerous administrative penalties for debt collectors whose intentional actions</w:t>
      </w:r>
      <w:r>
        <w:rPr>
          <w:rFonts w:ascii="Times New Roman" w:hAnsi="Times New Roman"/>
          <w:sz w:val="24"/>
        </w:rPr>
        <w:t xml:space="preserve"> </w:t>
      </w:r>
      <w:r w:rsidRPr="00FD5EA5">
        <w:rPr>
          <w:rFonts w:ascii="Times New Roman" w:hAnsi="Times New Roman"/>
          <w:sz w:val="24"/>
        </w:rPr>
        <w:t>reflected knowledge that the conduct was prohibited. Congress also</w:t>
      </w:r>
      <w:r>
        <w:rPr>
          <w:rFonts w:ascii="Times New Roman" w:hAnsi="Times New Roman"/>
          <w:sz w:val="24"/>
        </w:rPr>
        <w:t xml:space="preserve"> </w:t>
      </w:r>
      <w:r w:rsidRPr="00FD5EA5">
        <w:rPr>
          <w:rFonts w:ascii="Times New Roman" w:hAnsi="Times New Roman"/>
          <w:sz w:val="24"/>
        </w:rPr>
        <w:t xml:space="preserve">did not confine FDCPA liability to “willful” violations, a term more often understood in the civil context to exclude mistakes of law. See, e.g., Trans World Airlines, Inc. v. Thurston, 469 U. S. 111, 125–126. Section 1692k(c)’s requirement that a debt collector maintain “procedures reasonably adapted to avoid any such error” also more naturally evokes procedures to avoid mistakes like clerical or factual errors. Pp. 6–12. </w:t>
      </w:r>
      <w:r w:rsidR="00B07BF3">
        <w:rPr>
          <w:rFonts w:ascii="Times New Roman" w:hAnsi="Times New Roman"/>
          <w:sz w:val="24"/>
        </w:rPr>
        <w:br/>
      </w:r>
    </w:p>
    <w:p w:rsidR="00B07BF3" w:rsidRPr="00F33264" w:rsidRDefault="00B07BF3" w:rsidP="00B07BF3">
      <w:pPr>
        <w:pStyle w:val="ListParagraph"/>
        <w:numPr>
          <w:ilvl w:val="1"/>
          <w:numId w:val="5"/>
        </w:numPr>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33264">
        <w:rPr>
          <w:rFonts w:ascii="Times New Roman" w:hAnsi="Times New Roman"/>
          <w:sz w:val="24"/>
        </w:rPr>
        <w:t xml:space="preserve">While Georgia is a non-judicial foreclosure state, federal courts in other non-judicial foreclosure states still look unfavorably on violations of state and federal law. Such was affirmed in the case of Paul and Laura Nguyen (pro se litigant) vs. Chase Bank USA, et al in the United States District Court Central District of California when the Honorable Judge Howard </w:t>
      </w:r>
      <w:proofErr w:type="spellStart"/>
      <w:r w:rsidRPr="00F33264">
        <w:rPr>
          <w:rFonts w:ascii="Times New Roman" w:hAnsi="Times New Roman"/>
          <w:sz w:val="24"/>
        </w:rPr>
        <w:t>Matz</w:t>
      </w:r>
      <w:proofErr w:type="spellEnd"/>
      <w:r w:rsidRPr="00F33264">
        <w:rPr>
          <w:rFonts w:ascii="Times New Roman" w:hAnsi="Times New Roman"/>
          <w:sz w:val="24"/>
        </w:rPr>
        <w:t xml:space="preserve"> concluded: </w:t>
      </w:r>
    </w:p>
    <w:p w:rsidR="00B07BF3" w:rsidRPr="00F33264" w:rsidRDefault="00B07BF3" w:rsidP="00B07BF3">
      <w:pPr>
        <w:pStyle w:val="ListParagraph"/>
        <w:numPr>
          <w:ilvl w:val="2"/>
          <w:numId w:val="5"/>
        </w:numPr>
        <w:tabs>
          <w:tab w:val="left" w:pos="-720"/>
          <w:tab w:val="left" w:pos="0"/>
          <w:tab w:val="left" w:pos="720"/>
          <w:tab w:val="left" w:pos="108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sidRPr="00F33264">
        <w:rPr>
          <w:rFonts w:ascii="Times New Roman" w:hAnsi="Times New Roman"/>
          <w:sz w:val="24"/>
        </w:rPr>
        <w:t>“As a result of the failure of Chase to provide all of the disclosures required by state and federal law, and as a result of the false, fraudulent, and/or deceitful representations made to the Plaintiffs concerning the terms of the Mortgage Loan, Plaintiffs are entitled to rescind the Mortgage Loan.” (Complaint 19-22, at page 4)</w:t>
      </w:r>
    </w:p>
    <w:p w:rsidR="00FD5EA5" w:rsidRPr="00FD5EA5" w:rsidRDefault="00FD5EA5" w:rsidP="00B07BF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1170"/>
        <w:rPr>
          <w:rFonts w:ascii="Times New Roman" w:hAnsi="Times New Roman"/>
          <w:sz w:val="24"/>
        </w:rPr>
      </w:pPr>
    </w:p>
    <w:p w:rsidR="00524404" w:rsidRPr="002D0354" w:rsidRDefault="008155A2" w:rsidP="00117A48">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color w:val="FF0000"/>
          <w:sz w:val="24"/>
        </w:rPr>
      </w:pPr>
      <w:r w:rsidRPr="00117A48">
        <w:rPr>
          <w:rFonts w:ascii="Times New Roman" w:hAnsi="Times New Roman"/>
          <w:sz w:val="24"/>
        </w:rPr>
        <w:br/>
      </w:r>
      <w:r w:rsidR="00524404" w:rsidRPr="002D0354">
        <w:rPr>
          <w:rFonts w:ascii="Times New Roman" w:hAnsi="Times New Roman"/>
          <w:color w:val="FF0000"/>
          <w:sz w:val="24"/>
        </w:rPr>
        <w:t>Response to Defendants section (C):</w:t>
      </w:r>
    </w:p>
    <w:p w:rsidR="00524404" w:rsidRDefault="00524404" w:rsidP="00117A48">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
    <w:p w:rsidR="00FF09B9" w:rsidRDefault="00FF09B9" w:rsidP="00117A48">
      <w:p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Pr>
          <w:rFonts w:ascii="Times New Roman" w:hAnsi="Times New Roman"/>
          <w:sz w:val="24"/>
        </w:rPr>
        <w:t>Plaintiff opposes Defendants claim that Plaintiff lacks standing without a tender of arrearages based on the following:</w:t>
      </w:r>
    </w:p>
    <w:p w:rsidR="00FF09B9" w:rsidRPr="00276CF7" w:rsidRDefault="00FF09B9" w:rsidP="00FF09B9">
      <w:pPr>
        <w:pStyle w:val="ListParagraph"/>
        <w:numPr>
          <w:ilvl w:val="6"/>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sz w:val="24"/>
        </w:rPr>
        <w:t>The Plaintiff didn’t execute a security deed with any of the Defendants and doesn’t owe them any money at all.</w:t>
      </w:r>
      <w:r w:rsidRPr="00FF09B9">
        <w:rPr>
          <w:rFonts w:ascii="Times New Roman" w:hAnsi="Times New Roman"/>
          <w:sz w:val="24"/>
        </w:rPr>
        <w:t xml:space="preserve"> </w:t>
      </w:r>
    </w:p>
    <w:p w:rsidR="00276CF7" w:rsidRPr="00FF09B9" w:rsidRDefault="00276CF7" w:rsidP="00FF09B9">
      <w:pPr>
        <w:pStyle w:val="ListParagraph"/>
        <w:numPr>
          <w:ilvl w:val="6"/>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p>
    <w:p w:rsidR="00FF09B9" w:rsidRPr="00FF09B9" w:rsidRDefault="00FF09B9" w:rsidP="00FF09B9">
      <w:pPr>
        <w:pStyle w:val="ListParagraph"/>
        <w:numPr>
          <w:ilvl w:val="6"/>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sz w:val="24"/>
        </w:rPr>
        <w:t>On the contrary, Plaintiff believes that any money paid to the Defendants was obtained fraudulently, and that said Defendants should be ordered to place all such monies with the court pending the outcome of this litigation.</w:t>
      </w:r>
      <w:r w:rsidR="00607A3E">
        <w:rPr>
          <w:rFonts w:ascii="Times New Roman" w:hAnsi="Times New Roman"/>
          <w:sz w:val="24"/>
        </w:rPr>
        <w:br/>
      </w:r>
    </w:p>
    <w:p w:rsidR="00C96888" w:rsidRPr="00C96888" w:rsidRDefault="00607A3E" w:rsidP="00FF09B9">
      <w:pPr>
        <w:pStyle w:val="ListParagraph"/>
        <w:numPr>
          <w:ilvl w:val="6"/>
          <w:numId w:val="9"/>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b/>
          <w:sz w:val="24"/>
        </w:rPr>
      </w:pPr>
      <w:r>
        <w:rPr>
          <w:rFonts w:ascii="Times New Roman" w:hAnsi="Times New Roman"/>
          <w:sz w:val="24"/>
        </w:rPr>
        <w:t>Even if it were to be proven at some future time that the Plaintiff did owe the Defendants, a</w:t>
      </w:r>
      <w:r w:rsidR="00FF09B9">
        <w:rPr>
          <w:rFonts w:ascii="Times New Roman" w:hAnsi="Times New Roman"/>
          <w:sz w:val="24"/>
        </w:rPr>
        <w:t xml:space="preserve">t the time the Plaintiff exercised his right to </w:t>
      </w:r>
      <w:r w:rsidR="00FF09B9">
        <w:rPr>
          <w:rFonts w:ascii="Times New Roman" w:hAnsi="Times New Roman"/>
          <w:sz w:val="24"/>
        </w:rPr>
        <w:lastRenderedPageBreak/>
        <w:t>require the debt collectors</w:t>
      </w:r>
      <w:r w:rsidR="00C96888">
        <w:rPr>
          <w:rFonts w:ascii="Times New Roman" w:hAnsi="Times New Roman"/>
          <w:sz w:val="24"/>
        </w:rPr>
        <w:t>-the Defendants</w:t>
      </w:r>
      <w:r w:rsidR="00FF09B9">
        <w:rPr>
          <w:rFonts w:ascii="Times New Roman" w:hAnsi="Times New Roman"/>
          <w:sz w:val="24"/>
        </w:rPr>
        <w:t xml:space="preserve"> to validate the debt amount and true and secured creditor</w:t>
      </w:r>
      <w:r w:rsidR="005B6287">
        <w:rPr>
          <w:rFonts w:ascii="Times New Roman" w:hAnsi="Times New Roman"/>
          <w:sz w:val="24"/>
        </w:rPr>
        <w:t xml:space="preserve">, the Plaintiff was not behind on his mortgage payments at all. According to FDCPA section </w:t>
      </w:r>
      <w:r w:rsidR="00C96888" w:rsidRPr="00FD5EA5">
        <w:rPr>
          <w:rFonts w:ascii="Times New Roman" w:hAnsi="Times New Roman"/>
          <w:sz w:val="24"/>
        </w:rPr>
        <w:t>§</w:t>
      </w:r>
      <w:r w:rsidR="005B6287">
        <w:rPr>
          <w:rFonts w:ascii="Times New Roman" w:hAnsi="Times New Roman"/>
          <w:sz w:val="24"/>
        </w:rPr>
        <w:t xml:space="preserve">809 (b) </w:t>
      </w:r>
      <w:r w:rsidR="00C96888">
        <w:rPr>
          <w:rFonts w:ascii="Times New Roman" w:hAnsi="Times New Roman"/>
          <w:sz w:val="24"/>
        </w:rPr>
        <w:br/>
      </w:r>
    </w:p>
    <w:p w:rsidR="00607A3E" w:rsidRDefault="00C96888" w:rsidP="00C96888">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2520"/>
        <w:rPr>
          <w:rFonts w:ascii="Times New Roman" w:hAnsi="Times New Roman"/>
          <w:sz w:val="24"/>
        </w:rPr>
      </w:pPr>
      <w:r>
        <w:rPr>
          <w:rFonts w:ascii="Times New Roman" w:hAnsi="Times New Roman"/>
          <w:sz w:val="24"/>
        </w:rPr>
        <w:t>“</w:t>
      </w:r>
      <w:r w:rsidR="005B6287">
        <w:rPr>
          <w:rFonts w:ascii="Times New Roman" w:hAnsi="Times New Roman"/>
          <w:sz w:val="24"/>
        </w:rPr>
        <w:t xml:space="preserve">If the consumer notifies the debt collector in writing within the thirty-day period described in subsection (a) that the debt, or any portion thereof, is disputed, or that the consumer requests the name and addresses of the original creditor, the debt collector </w:t>
      </w:r>
      <w:r w:rsidR="005B6287" w:rsidRPr="00607A3E">
        <w:rPr>
          <w:rFonts w:ascii="Times New Roman" w:hAnsi="Times New Roman"/>
          <w:b/>
          <w:sz w:val="24"/>
        </w:rPr>
        <w:t>shall cease collection of the debt,</w:t>
      </w:r>
      <w:r w:rsidR="005B6287">
        <w:rPr>
          <w:rFonts w:ascii="Times New Roman" w:hAnsi="Times New Roman"/>
          <w:sz w:val="24"/>
        </w:rPr>
        <w:t xml:space="preserve"> </w:t>
      </w:r>
      <w:r w:rsidR="005B6287" w:rsidRPr="00607A3E">
        <w:rPr>
          <w:rFonts w:ascii="Times New Roman" w:hAnsi="Times New Roman"/>
          <w:b/>
          <w:sz w:val="24"/>
        </w:rPr>
        <w:t>or any disputed portion thereof</w:t>
      </w:r>
      <w:r w:rsidR="005B6287">
        <w:rPr>
          <w:rFonts w:ascii="Times New Roman" w:hAnsi="Times New Roman"/>
          <w:sz w:val="24"/>
        </w:rPr>
        <w:t>, until the debt collector obtains verification of the debt or a copy of a judgment, or the name and address of the original creditor, and a copy of such verification or judgment, or name and address of the original creditor, is mailed to the consumer by the debt collector</w:t>
      </w:r>
      <w:r>
        <w:rPr>
          <w:rFonts w:ascii="Times New Roman" w:hAnsi="Times New Roman"/>
          <w:sz w:val="24"/>
        </w:rPr>
        <w:t>.”</w:t>
      </w:r>
    </w:p>
    <w:p w:rsidR="00607A3E" w:rsidRDefault="00607A3E" w:rsidP="00C96888">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2520"/>
        <w:rPr>
          <w:rFonts w:ascii="Times New Roman" w:hAnsi="Times New Roman"/>
          <w:sz w:val="24"/>
        </w:rPr>
      </w:pPr>
    </w:p>
    <w:p w:rsidR="00C80397" w:rsidRDefault="00607A3E" w:rsidP="00C96888">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2520"/>
        <w:rPr>
          <w:rFonts w:ascii="Times New Roman" w:hAnsi="Times New Roman"/>
          <w:sz w:val="24"/>
        </w:rPr>
      </w:pPr>
      <w:r>
        <w:rPr>
          <w:rFonts w:ascii="Times New Roman" w:hAnsi="Times New Roman"/>
          <w:sz w:val="24"/>
        </w:rPr>
        <w:t>Since the Defendants have refused to provide the requisite information to legally validate the debt amount and secured creditor, the collection of the debt, or any disputed portion thereof ceased. The Plaintiff is not in arrears, and the move to foreclosure</w:t>
      </w:r>
      <w:r w:rsidR="00C80397">
        <w:rPr>
          <w:rFonts w:ascii="Times New Roman" w:hAnsi="Times New Roman"/>
          <w:sz w:val="24"/>
        </w:rPr>
        <w:t xml:space="preserve"> by the debt collector Defendants</w:t>
      </w:r>
      <w:r>
        <w:rPr>
          <w:rFonts w:ascii="Times New Roman" w:hAnsi="Times New Roman"/>
          <w:sz w:val="24"/>
        </w:rPr>
        <w:t xml:space="preserve"> is unlawful</w:t>
      </w:r>
      <w:r w:rsidR="00C80397">
        <w:rPr>
          <w:rFonts w:ascii="Times New Roman" w:hAnsi="Times New Roman"/>
          <w:sz w:val="24"/>
        </w:rPr>
        <w:t xml:space="preserve">. Just which one of the Defendants are-were debt collects is difficult to determine precisely because the Defendants have refused to provide the clear chain of title as order by </w:t>
      </w:r>
      <w:proofErr w:type="spellStart"/>
      <w:r w:rsidR="00C80397">
        <w:rPr>
          <w:rFonts w:ascii="Times New Roman" w:hAnsi="Times New Roman"/>
          <w:sz w:val="24"/>
        </w:rPr>
        <w:t>Dekalb</w:t>
      </w:r>
      <w:proofErr w:type="spellEnd"/>
      <w:r w:rsidR="00C80397">
        <w:rPr>
          <w:rFonts w:ascii="Times New Roman" w:hAnsi="Times New Roman"/>
          <w:sz w:val="24"/>
        </w:rPr>
        <w:t xml:space="preserve"> County Superior Court Judge </w:t>
      </w:r>
      <w:proofErr w:type="spellStart"/>
      <w:r w:rsidR="00C80397">
        <w:rPr>
          <w:rFonts w:ascii="Times New Roman" w:hAnsi="Times New Roman"/>
          <w:sz w:val="24"/>
        </w:rPr>
        <w:t>Tangela</w:t>
      </w:r>
      <w:proofErr w:type="spellEnd"/>
      <w:r w:rsidR="00C80397">
        <w:rPr>
          <w:rFonts w:ascii="Times New Roman" w:hAnsi="Times New Roman"/>
          <w:sz w:val="24"/>
        </w:rPr>
        <w:t xml:space="preserve"> Barry along with the governing agreements that would help determine their legal roles (servicer, lender, trustee, creditor, secured creditor, holder in due course, etc.)</w:t>
      </w:r>
    </w:p>
    <w:p w:rsidR="00C80397" w:rsidRDefault="00C80397" w:rsidP="00C96888">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2520"/>
        <w:rPr>
          <w:rFonts w:ascii="Times New Roman" w:hAnsi="Times New Roman"/>
          <w:sz w:val="24"/>
        </w:rPr>
      </w:pPr>
    </w:p>
    <w:p w:rsidR="00C80397" w:rsidRDefault="00C80397" w:rsidP="002D035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0"/>
        <w:jc w:val="center"/>
        <w:rPr>
          <w:rFonts w:ascii="Times New Roman" w:hAnsi="Times New Roman"/>
          <w:b/>
          <w:sz w:val="24"/>
          <w:u w:val="single"/>
        </w:rPr>
      </w:pPr>
      <w:r w:rsidRPr="00C80397">
        <w:rPr>
          <w:rFonts w:ascii="Times New Roman" w:hAnsi="Times New Roman"/>
          <w:b/>
          <w:sz w:val="24"/>
          <w:u w:val="single"/>
        </w:rPr>
        <w:t>CONCLUSION</w:t>
      </w:r>
    </w:p>
    <w:p w:rsidR="00C80397" w:rsidRDefault="00C80397"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2520"/>
        <w:jc w:val="center"/>
        <w:rPr>
          <w:rFonts w:ascii="Times New Roman" w:hAnsi="Times New Roman"/>
          <w:b/>
          <w:sz w:val="24"/>
          <w:u w:val="single"/>
        </w:rPr>
      </w:pPr>
    </w:p>
    <w:p w:rsidR="002D035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roofErr w:type="gramStart"/>
      <w:r w:rsidRPr="002D0354">
        <w:rPr>
          <w:rFonts w:ascii="Times New Roman" w:hAnsi="Times New Roman"/>
          <w:sz w:val="24"/>
        </w:rPr>
        <w:t>Def</w:t>
      </w:r>
      <w:r>
        <w:rPr>
          <w:rFonts w:ascii="Times New Roman" w:hAnsi="Times New Roman"/>
          <w:sz w:val="24"/>
        </w:rPr>
        <w:t>endants</w:t>
      </w:r>
      <w:proofErr w:type="gramEnd"/>
      <w:r>
        <w:rPr>
          <w:rFonts w:ascii="Times New Roman" w:hAnsi="Times New Roman"/>
          <w:sz w:val="24"/>
        </w:rPr>
        <w:t xml:space="preserve"> statement of the facts to support a move to summary judgment is flawed. The Plaintiff claims based on the July 29</w:t>
      </w:r>
      <w:r w:rsidRPr="002D0354">
        <w:rPr>
          <w:rFonts w:ascii="Times New Roman" w:hAnsi="Times New Roman"/>
          <w:sz w:val="24"/>
          <w:vertAlign w:val="superscript"/>
        </w:rPr>
        <w:t>th</w:t>
      </w:r>
      <w:r>
        <w:rPr>
          <w:rFonts w:ascii="Times New Roman" w:hAnsi="Times New Roman"/>
          <w:sz w:val="24"/>
        </w:rPr>
        <w:t xml:space="preserve"> 2009 filing is not based on a “produce the note” requirement prohibiting foreclosure, instead it’s based on the Defendants’ violation of Georgia State and Federal law. Further, Plaintiff doesn’t owe Defendants any money on my mortgage, so his challenge to Plaintiff standing fails.</w:t>
      </w:r>
    </w:p>
    <w:p w:rsidR="002D035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
    <w:p w:rsidR="002D035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Pr>
          <w:rFonts w:ascii="Times New Roman" w:hAnsi="Times New Roman"/>
          <w:sz w:val="24"/>
        </w:rPr>
        <w:t xml:space="preserve">WHEREFORE, Plaintiff prays that the Court deny </w:t>
      </w:r>
      <w:r w:rsidRPr="00981AEB">
        <w:rPr>
          <w:rFonts w:ascii="Times New Roman" w:hAnsi="Times New Roman"/>
          <w:sz w:val="24"/>
        </w:rPr>
        <w:t>Defendant ANTHONY DEMARLO AND MCCURDY &amp; CANDLER LLC</w:t>
      </w:r>
      <w:r>
        <w:rPr>
          <w:rFonts w:ascii="Times New Roman" w:hAnsi="Times New Roman"/>
          <w:sz w:val="24"/>
        </w:rPr>
        <w:t>’s motion for Judgment on the Pleadings.</w:t>
      </w:r>
    </w:p>
    <w:p w:rsidR="002D035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
    <w:p w:rsidR="002D035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Pr>
          <w:rFonts w:ascii="Times New Roman" w:hAnsi="Times New Roman"/>
          <w:sz w:val="24"/>
        </w:rPr>
        <w:t>Submitted this __________ day of ________, 2010</w:t>
      </w:r>
    </w:p>
    <w:p w:rsidR="002D035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
    <w:p w:rsidR="002D0354" w:rsidRDefault="002D0354" w:rsidP="002D035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jc w:val="right"/>
        <w:rPr>
          <w:rFonts w:ascii="Times New Roman" w:hAnsi="Times New Roman"/>
          <w:sz w:val="24"/>
        </w:rPr>
      </w:pPr>
    </w:p>
    <w:p w:rsidR="002D0354" w:rsidRDefault="002D0354" w:rsidP="002D0354">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jc w:val="right"/>
        <w:rPr>
          <w:rFonts w:ascii="Times New Roman" w:hAnsi="Times New Roman"/>
          <w:sz w:val="24"/>
        </w:rPr>
      </w:pPr>
      <w:r>
        <w:rPr>
          <w:rFonts w:ascii="Times New Roman" w:hAnsi="Times New Roman"/>
          <w:sz w:val="24"/>
        </w:rPr>
        <w:t>Wekesa O. Madzimoyo</w:t>
      </w:r>
    </w:p>
    <w:p w:rsidR="002D035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p>
    <w:p w:rsidR="00364244" w:rsidRPr="002D0354" w:rsidRDefault="002D0354" w:rsidP="00C80397">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rPr>
          <w:rFonts w:ascii="Times New Roman" w:hAnsi="Times New Roman"/>
          <w:sz w:val="24"/>
        </w:rPr>
      </w:pPr>
      <w:r>
        <w:rPr>
          <w:rFonts w:ascii="Times New Roman" w:hAnsi="Times New Roman"/>
          <w:sz w:val="24"/>
        </w:rPr>
        <w:t xml:space="preserve"> </w:t>
      </w:r>
      <w:r w:rsidR="008155A2" w:rsidRPr="002D0354">
        <w:rPr>
          <w:rFonts w:ascii="Times New Roman" w:hAnsi="Times New Roman"/>
          <w:sz w:val="24"/>
        </w:rPr>
        <w:br/>
      </w:r>
    </w:p>
    <w:p w:rsidR="007B4C18" w:rsidRDefault="007B4C18"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p>
    <w:p w:rsidR="00F76625" w:rsidRDefault="00F76625"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p>
    <w:p w:rsidR="00F76625" w:rsidRPr="00065A86" w:rsidRDefault="00F76625" w:rsidP="005A7D33">
      <w:pPr>
        <w:pStyle w:val="ListParagraph"/>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ind w:left="90"/>
        <w:rPr>
          <w:rFonts w:ascii="Times New Roman" w:hAnsi="Times New Roman"/>
          <w:sz w:val="24"/>
        </w:rPr>
      </w:pPr>
      <w:r>
        <w:rPr>
          <w:rFonts w:ascii="Times New Roman" w:hAnsi="Times New Roman"/>
          <w:sz w:val="24"/>
        </w:rPr>
        <w:tab/>
      </w:r>
    </w:p>
    <w:p w:rsidR="00C101F8" w:rsidRDefault="00C101F8"/>
    <w:p w:rsidR="00C101F8" w:rsidRDefault="00C101F8"/>
    <w:sectPr w:rsidR="00C101F8" w:rsidSect="0020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2D8E"/>
    <w:multiLevelType w:val="hybridMultilevel"/>
    <w:tmpl w:val="170C9D8A"/>
    <w:lvl w:ilvl="0" w:tplc="587CF96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96D315B"/>
    <w:multiLevelType w:val="hybridMultilevel"/>
    <w:tmpl w:val="B03ED5F8"/>
    <w:lvl w:ilvl="0" w:tplc="3E3CFB6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5130CF4"/>
    <w:multiLevelType w:val="hybridMultilevel"/>
    <w:tmpl w:val="74CC0FBC"/>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9DF17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50737E"/>
    <w:multiLevelType w:val="hybridMultilevel"/>
    <w:tmpl w:val="C09E2112"/>
    <w:lvl w:ilvl="0" w:tplc="587CF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95355D7"/>
    <w:multiLevelType w:val="hybridMultilevel"/>
    <w:tmpl w:val="64A2020A"/>
    <w:lvl w:ilvl="0" w:tplc="587CF964">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4BF0983"/>
    <w:multiLevelType w:val="multilevel"/>
    <w:tmpl w:val="3084BE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03724E"/>
    <w:multiLevelType w:val="hybridMultilevel"/>
    <w:tmpl w:val="E146E260"/>
    <w:lvl w:ilvl="0" w:tplc="587CF96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FA07347"/>
    <w:multiLevelType w:val="hybridMultilevel"/>
    <w:tmpl w:val="2CBA3C7C"/>
    <w:lvl w:ilvl="0" w:tplc="E9FC0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7"/>
  </w:num>
  <w:num w:numId="6">
    <w:abstractNumId w:val="2"/>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01F8"/>
    <w:rsid w:val="00065A86"/>
    <w:rsid w:val="000A0870"/>
    <w:rsid w:val="000D3907"/>
    <w:rsid w:val="000F3166"/>
    <w:rsid w:val="00117A48"/>
    <w:rsid w:val="001B3D30"/>
    <w:rsid w:val="001D2732"/>
    <w:rsid w:val="001E6301"/>
    <w:rsid w:val="00205E7A"/>
    <w:rsid w:val="00244C17"/>
    <w:rsid w:val="00252113"/>
    <w:rsid w:val="00274415"/>
    <w:rsid w:val="00276CF7"/>
    <w:rsid w:val="002D0354"/>
    <w:rsid w:val="002D459C"/>
    <w:rsid w:val="00364244"/>
    <w:rsid w:val="003C0905"/>
    <w:rsid w:val="00403CCA"/>
    <w:rsid w:val="0042261D"/>
    <w:rsid w:val="00425057"/>
    <w:rsid w:val="00443287"/>
    <w:rsid w:val="00524404"/>
    <w:rsid w:val="005A110A"/>
    <w:rsid w:val="005A7D33"/>
    <w:rsid w:val="005B6287"/>
    <w:rsid w:val="005E71D1"/>
    <w:rsid w:val="00607A3E"/>
    <w:rsid w:val="00607BDE"/>
    <w:rsid w:val="00655451"/>
    <w:rsid w:val="00660F93"/>
    <w:rsid w:val="00661F08"/>
    <w:rsid w:val="00676A28"/>
    <w:rsid w:val="006D4020"/>
    <w:rsid w:val="007400FB"/>
    <w:rsid w:val="00742C26"/>
    <w:rsid w:val="007B4C18"/>
    <w:rsid w:val="007C42D1"/>
    <w:rsid w:val="008155A2"/>
    <w:rsid w:val="00835243"/>
    <w:rsid w:val="0088206B"/>
    <w:rsid w:val="00890D10"/>
    <w:rsid w:val="008E4FDA"/>
    <w:rsid w:val="00981AEB"/>
    <w:rsid w:val="009C046F"/>
    <w:rsid w:val="00A04B2A"/>
    <w:rsid w:val="00A9520A"/>
    <w:rsid w:val="00AC769D"/>
    <w:rsid w:val="00B0224B"/>
    <w:rsid w:val="00B07BF3"/>
    <w:rsid w:val="00B47969"/>
    <w:rsid w:val="00B741D8"/>
    <w:rsid w:val="00BA1C23"/>
    <w:rsid w:val="00BA7A74"/>
    <w:rsid w:val="00BD3197"/>
    <w:rsid w:val="00C101F8"/>
    <w:rsid w:val="00C736CA"/>
    <w:rsid w:val="00C80397"/>
    <w:rsid w:val="00C82D26"/>
    <w:rsid w:val="00C96888"/>
    <w:rsid w:val="00CC228A"/>
    <w:rsid w:val="00CE0D65"/>
    <w:rsid w:val="00D833F3"/>
    <w:rsid w:val="00F33264"/>
    <w:rsid w:val="00F50851"/>
    <w:rsid w:val="00F76625"/>
    <w:rsid w:val="00F90680"/>
    <w:rsid w:val="00FD5EA5"/>
    <w:rsid w:val="00FE5A8C"/>
    <w:rsid w:val="00FF09B9"/>
    <w:rsid w:val="00FF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A86"/>
    <w:rPr>
      <w:rFonts w:ascii="Tahoma" w:eastAsia="Calibri" w:hAnsi="Tahoma" w:cs="Tahoma"/>
      <w:sz w:val="16"/>
      <w:szCs w:val="16"/>
    </w:rPr>
  </w:style>
  <w:style w:type="paragraph" w:styleId="ListParagraph">
    <w:name w:val="List Paragraph"/>
    <w:basedOn w:val="Normal"/>
    <w:uiPriority w:val="34"/>
    <w:qFormat/>
    <w:rsid w:val="00065A86"/>
    <w:pPr>
      <w:ind w:left="720"/>
      <w:contextualSpacing/>
    </w:pPr>
  </w:style>
  <w:style w:type="paragraph" w:customStyle="1" w:styleId="Default">
    <w:name w:val="Default"/>
    <w:rsid w:val="00FD5EA5"/>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8</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3</cp:revision>
  <cp:lastPrinted>2010-10-25T07:04:00Z</cp:lastPrinted>
  <dcterms:created xsi:type="dcterms:W3CDTF">2010-10-25T15:49:00Z</dcterms:created>
  <dcterms:modified xsi:type="dcterms:W3CDTF">2010-10-26T04:03:00Z</dcterms:modified>
</cp:coreProperties>
</file>