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1C3FF2"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1C3FF2">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79.9pt;height:257.65pt;z-index:251656704;mso-width-relative:margin;mso-height-relative:margin" strokecolor="white">
            <v:textbox>
              <w:txbxContent>
                <w:p w:rsidR="00B74AE3" w:rsidRDefault="00B74AE3"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B74AE3" w:rsidRDefault="00B74AE3"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v.</w:t>
                  </w:r>
                  <w:r w:rsidRPr="006277E4">
                    <w:rPr>
                      <w:rFonts w:ascii="Times New Roman" w:hAnsi="Times New Roman"/>
                      <w:b/>
                      <w:sz w:val="28"/>
                      <w:szCs w:val="28"/>
                    </w:rPr>
                    <w:tab/>
                  </w:r>
                </w:p>
                <w:p w:rsidR="00B74AE3" w:rsidRPr="006277E4" w:rsidRDefault="00B74AE3"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B74AE3" w:rsidRPr="006277E4" w:rsidRDefault="00B74AE3"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Pr>
                      <w:rFonts w:ascii="Times New Roman" w:hAnsi="Times New Roman"/>
                      <w:b/>
                      <w:sz w:val="28"/>
                      <w:szCs w:val="28"/>
                    </w:rPr>
                    <w:t>, MCCURDY AND CANDLER, LLC</w:t>
                  </w:r>
                  <w:r w:rsidRPr="006277E4">
                    <w:rPr>
                      <w:rFonts w:ascii="Times New Roman" w:hAnsi="Times New Roman"/>
                      <w:b/>
                      <w:sz w:val="28"/>
                      <w:szCs w:val="28"/>
                    </w:rPr>
                    <w:t xml:space="preserve">  </w:t>
                  </w:r>
                  <w:r w:rsidRPr="006277E4">
                    <w:rPr>
                      <w:rFonts w:ascii="Times New Roman" w:hAnsi="Times New Roman"/>
                      <w:b/>
                      <w:sz w:val="28"/>
                      <w:szCs w:val="28"/>
                    </w:rPr>
                    <w:br/>
                    <w:t xml:space="preserve">and ANTHONY DEMARLO, Attorney </w:t>
                  </w:r>
                </w:p>
                <w:p w:rsidR="00B74AE3" w:rsidRPr="005A7D33" w:rsidRDefault="00B74AE3" w:rsidP="00932E32">
                  <w:pPr>
                    <w:ind w:right="-570"/>
                  </w:pPr>
                </w:p>
              </w:txbxContent>
            </v:textbox>
          </v:shape>
        </w:pict>
      </w:r>
      <w:r w:rsidRPr="001C3FF2">
        <w:rPr>
          <w:rFonts w:ascii="Times New Roman" w:hAnsi="Times New Roman"/>
          <w:b/>
          <w:noProof/>
          <w:sz w:val="28"/>
          <w:szCs w:val="28"/>
          <w:lang w:eastAsia="zh-TW"/>
        </w:rPr>
        <w:pict>
          <v:shape id="_x0000_s1026" type="#_x0000_t202" style="position:absolute;margin-left:290.5pt;margin-top:62.7pt;width:217.1pt;height:65.6pt;z-index:251655680;mso-width-relative:margin;mso-height-relative:margin" strokecolor="white">
            <v:textbox style="mso-next-textbox:#_x0000_s1026;mso-fit-shape-to-text:t">
              <w:txbxContent>
                <w:p w:rsidR="00B74AE3" w:rsidRDefault="00B74AE3"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B74AE3" w:rsidRPr="006277E4" w:rsidRDefault="00B74AE3"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B74AE3" w:rsidRPr="005A7D33" w:rsidRDefault="00B74AE3" w:rsidP="005A7D33"/>
              </w:txbxContent>
            </v:textbox>
          </v:shape>
        </w:pict>
      </w:r>
      <w:r w:rsidRPr="001C3FF2">
        <w:rPr>
          <w:rFonts w:ascii="Times New Roman" w:hAnsi="Times New Roman"/>
          <w:b/>
          <w:noProof/>
          <w:sz w:val="28"/>
          <w:szCs w:val="28"/>
        </w:rPr>
        <w:pict>
          <v:shape id="_x0000_s1029" type="#_x0000_t202" style="position:absolute;margin-left:271pt;margin-top:23.7pt;width:26.75pt;height:242.4pt;z-index:251657728;mso-width-relative:margin;mso-height-relative:margin" strokecolor="white">
            <v:textbox style="mso-next-textbox:#_x0000_s1029;mso-fit-shape-to-text:t">
              <w:txbxContent>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932E32"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B74AE3" w:rsidRPr="006277E4" w:rsidRDefault="00B74AE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B74AE3" w:rsidRPr="005A7D33" w:rsidRDefault="00B74AE3"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F90680"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643C7D" w:rsidRP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43C7D">
        <w:rPr>
          <w:rFonts w:ascii="Times New Roman" w:hAnsi="Times New Roman"/>
          <w:b/>
          <w:sz w:val="28"/>
          <w:szCs w:val="28"/>
        </w:rPr>
        <w:t>Defendants</w:t>
      </w:r>
    </w:p>
    <w:p w:rsidR="00CA6236" w:rsidRPr="009A25D9" w:rsidRDefault="00B37D72" w:rsidP="006728CF">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after="0" w:line="240" w:lineRule="auto"/>
        <w:jc w:val="center"/>
        <w:rPr>
          <w:rFonts w:ascii="Times New Roman" w:hAnsi="Times New Roman"/>
          <w:b/>
          <w:sz w:val="28"/>
          <w:szCs w:val="28"/>
        </w:rPr>
      </w:pPr>
      <w:r w:rsidRPr="009A25D9">
        <w:rPr>
          <w:rFonts w:ascii="Times New Roman" w:hAnsi="Times New Roman"/>
          <w:b/>
          <w:sz w:val="28"/>
          <w:szCs w:val="28"/>
        </w:rPr>
        <w:t>PLAINTIFF’S MOTION FOR SUMMARY JUDGEMENT</w:t>
      </w:r>
    </w:p>
    <w:p w:rsidR="006728CF" w:rsidRPr="009A25D9" w:rsidRDefault="006728CF" w:rsidP="006728CF">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after="0" w:line="240" w:lineRule="auto"/>
        <w:ind w:right="-570"/>
        <w:contextualSpacing/>
        <w:jc w:val="center"/>
        <w:rPr>
          <w:rFonts w:ascii="Times New Roman" w:hAnsi="Times New Roman"/>
          <w:b/>
          <w:sz w:val="28"/>
          <w:szCs w:val="28"/>
        </w:rPr>
      </w:pPr>
      <w:r w:rsidRPr="009A25D9">
        <w:rPr>
          <w:rFonts w:ascii="Times New Roman" w:hAnsi="Times New Roman"/>
          <w:b/>
          <w:sz w:val="28"/>
          <w:szCs w:val="28"/>
        </w:rPr>
        <w:t xml:space="preserve">AGAINST </w:t>
      </w:r>
      <w:r w:rsidR="00064CC0" w:rsidRPr="009A25D9">
        <w:rPr>
          <w:rFonts w:ascii="Times New Roman" w:hAnsi="Times New Roman"/>
          <w:b/>
          <w:sz w:val="28"/>
          <w:szCs w:val="28"/>
        </w:rPr>
        <w:t>BANK OF NEW YORK MELLON TRUST COMPANY, NA., ET AL</w:t>
      </w:r>
    </w:p>
    <w:p w:rsidR="006728CF" w:rsidRPr="009A25D9" w:rsidRDefault="006728CF" w:rsidP="006728CF">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b/>
          <w:sz w:val="28"/>
          <w:szCs w:val="28"/>
        </w:rPr>
      </w:pPr>
    </w:p>
    <w:p w:rsidR="00B37D72" w:rsidRPr="009A25D9" w:rsidRDefault="00B37D72"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Fonts w:ascii="Times New Roman" w:hAnsi="Times New Roman"/>
          <w:sz w:val="28"/>
          <w:szCs w:val="28"/>
        </w:rPr>
      </w:pPr>
      <w:r w:rsidRPr="009A25D9">
        <w:rPr>
          <w:rFonts w:ascii="Times New Roman" w:hAnsi="Times New Roman"/>
          <w:sz w:val="28"/>
          <w:szCs w:val="28"/>
        </w:rPr>
        <w:t>Comes now P</w:t>
      </w:r>
      <w:r w:rsidR="007D5D6D" w:rsidRPr="009A25D9">
        <w:rPr>
          <w:rFonts w:ascii="Times New Roman" w:hAnsi="Times New Roman"/>
          <w:sz w:val="28"/>
          <w:szCs w:val="28"/>
        </w:rPr>
        <w:t>LAINTIFF</w:t>
      </w:r>
      <w:r w:rsidRPr="009A25D9">
        <w:rPr>
          <w:rFonts w:ascii="Times New Roman" w:hAnsi="Times New Roman"/>
          <w:sz w:val="28"/>
          <w:szCs w:val="28"/>
        </w:rPr>
        <w:t xml:space="preserve"> Wekesa O. Madzimoyo, appearing pro se, and makes </w:t>
      </w:r>
      <w:r w:rsidR="006728CF" w:rsidRPr="009A25D9">
        <w:rPr>
          <w:rFonts w:ascii="Times New Roman" w:hAnsi="Times New Roman"/>
          <w:sz w:val="28"/>
          <w:szCs w:val="28"/>
        </w:rPr>
        <w:t>the following</w:t>
      </w:r>
      <w:r w:rsidRPr="009A25D9">
        <w:rPr>
          <w:rFonts w:ascii="Times New Roman" w:hAnsi="Times New Roman"/>
          <w:sz w:val="28"/>
          <w:szCs w:val="28"/>
        </w:rPr>
        <w:t xml:space="preserve"> motion for summary </w:t>
      </w:r>
      <w:r w:rsidR="006728CF" w:rsidRPr="009A25D9">
        <w:rPr>
          <w:rFonts w:ascii="Times New Roman" w:hAnsi="Times New Roman"/>
          <w:sz w:val="28"/>
          <w:szCs w:val="28"/>
        </w:rPr>
        <w:t>judgment based</w:t>
      </w:r>
      <w:r w:rsidRPr="009A25D9">
        <w:rPr>
          <w:rFonts w:ascii="Times New Roman" w:hAnsi="Times New Roman"/>
          <w:sz w:val="28"/>
          <w:szCs w:val="28"/>
        </w:rPr>
        <w:t xml:space="preserve"> upon undisputable facts and controlling law.</w:t>
      </w:r>
    </w:p>
    <w:p w:rsidR="00EF54B1" w:rsidRPr="00EF54B1" w:rsidRDefault="00EF54B1" w:rsidP="00EF54B1">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jc w:val="center"/>
        <w:rPr>
          <w:rFonts w:ascii="Times New Roman" w:hAnsi="Times New Roman"/>
          <w:b/>
          <w:sz w:val="28"/>
          <w:szCs w:val="28"/>
        </w:rPr>
      </w:pPr>
      <w:r w:rsidRPr="00EF54B1">
        <w:rPr>
          <w:rFonts w:ascii="Times New Roman" w:hAnsi="Times New Roman"/>
          <w:b/>
          <w:sz w:val="28"/>
          <w:szCs w:val="28"/>
        </w:rPr>
        <w:t>CONTROLLING LAW</w:t>
      </w:r>
    </w:p>
    <w:p w:rsidR="00E7685E" w:rsidRPr="009A25D9" w:rsidRDefault="00E7685E"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Fonts w:ascii="Times New Roman" w:hAnsi="Times New Roman"/>
          <w:sz w:val="28"/>
          <w:szCs w:val="28"/>
        </w:rPr>
      </w:pPr>
      <w:r w:rsidRPr="009A25D9">
        <w:rPr>
          <w:rFonts w:ascii="Times New Roman" w:hAnsi="Times New Roman"/>
          <w:sz w:val="28"/>
          <w:szCs w:val="28"/>
        </w:rPr>
        <w:t>Federal Rule 56 (a) holds that:</w:t>
      </w:r>
    </w:p>
    <w:p w:rsidR="00E7685E" w:rsidRPr="009A25D9" w:rsidRDefault="00E7685E" w:rsidP="005F542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Style w:val="apple-converted-space"/>
          <w:rFonts w:ascii="Times New Roman" w:hAnsi="Times New Roman"/>
          <w:color w:val="000000"/>
          <w:sz w:val="28"/>
          <w:szCs w:val="28"/>
        </w:rPr>
      </w:pPr>
      <w:r w:rsidRPr="009A25D9">
        <w:rPr>
          <w:rStyle w:val="apple-style-span"/>
          <w:rFonts w:ascii="Times New Roman" w:hAnsi="Times New Roman"/>
          <w:color w:val="000000"/>
          <w:sz w:val="28"/>
          <w:szCs w:val="28"/>
        </w:rPr>
        <w:lastRenderedPageBreak/>
        <w:t>The court shall grant summary judgment if the movant shows that there is no genuine dispute as to any material fact and the movant is entitled to judgment as a matter of law. </w:t>
      </w:r>
      <w:r w:rsidRPr="009A25D9">
        <w:rPr>
          <w:rStyle w:val="apple-converted-space"/>
          <w:rFonts w:ascii="Times New Roman" w:hAnsi="Times New Roman"/>
          <w:color w:val="000000"/>
          <w:sz w:val="28"/>
          <w:szCs w:val="28"/>
        </w:rPr>
        <w:t> </w:t>
      </w:r>
    </w:p>
    <w:p w:rsidR="00E7685E" w:rsidRPr="009A25D9" w:rsidRDefault="00E7685E" w:rsidP="005F542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Style w:val="apple-converted-space"/>
          <w:rFonts w:ascii="Times New Roman" w:hAnsi="Times New Roman"/>
          <w:color w:val="000000"/>
          <w:sz w:val="28"/>
          <w:szCs w:val="28"/>
        </w:rPr>
      </w:pPr>
    </w:p>
    <w:p w:rsidR="005F5428" w:rsidRPr="009A25D9" w:rsidRDefault="00E7685E" w:rsidP="005F542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Fonts w:ascii="Times New Roman" w:hAnsi="Times New Roman"/>
          <w:sz w:val="28"/>
          <w:szCs w:val="28"/>
        </w:rPr>
      </w:pPr>
      <w:r w:rsidRPr="009A25D9">
        <w:rPr>
          <w:rStyle w:val="apple-converted-space"/>
          <w:rFonts w:ascii="Times New Roman" w:hAnsi="Times New Roman"/>
          <w:color w:val="000000"/>
          <w:sz w:val="28"/>
          <w:szCs w:val="28"/>
        </w:rPr>
        <w:t>Further 56</w:t>
      </w:r>
      <w:r w:rsidRPr="009A25D9">
        <w:rPr>
          <w:rFonts w:ascii="Times New Roman" w:hAnsi="Times New Roman"/>
          <w:sz w:val="28"/>
          <w:szCs w:val="28"/>
        </w:rPr>
        <w:t xml:space="preserve"> ( C ) 1 (A)  </w:t>
      </w:r>
      <w:r w:rsidR="005F5428" w:rsidRPr="009A25D9">
        <w:rPr>
          <w:rFonts w:ascii="Times New Roman" w:hAnsi="Times New Roman"/>
          <w:sz w:val="28"/>
          <w:szCs w:val="28"/>
        </w:rPr>
        <w:t>adds</w:t>
      </w:r>
      <w:r w:rsidRPr="009A25D9">
        <w:rPr>
          <w:rFonts w:ascii="Times New Roman" w:hAnsi="Times New Roman"/>
          <w:sz w:val="28"/>
          <w:szCs w:val="28"/>
        </w:rPr>
        <w:t xml:space="preserve"> that</w:t>
      </w:r>
      <w:r w:rsidR="005F5428" w:rsidRPr="009A25D9">
        <w:rPr>
          <w:rFonts w:ascii="Times New Roman" w:hAnsi="Times New Roman"/>
          <w:sz w:val="28"/>
          <w:szCs w:val="28"/>
        </w:rPr>
        <w:t>:</w:t>
      </w:r>
    </w:p>
    <w:p w:rsidR="005F5428" w:rsidRPr="009A25D9" w:rsidRDefault="005F5428" w:rsidP="005F5428">
      <w:pPr>
        <w:spacing w:line="390" w:lineRule="atLeast"/>
        <w:ind w:left="1008" w:hanging="504"/>
        <w:rPr>
          <w:rFonts w:ascii="Times New Roman" w:eastAsia="Times New Roman" w:hAnsi="Times New Roman"/>
          <w:color w:val="000000"/>
          <w:sz w:val="28"/>
          <w:szCs w:val="28"/>
        </w:rPr>
      </w:pPr>
      <w:r w:rsidRPr="009A25D9">
        <w:rPr>
          <w:rFonts w:ascii="Times New Roman" w:hAnsi="Times New Roman"/>
          <w:sz w:val="28"/>
          <w:szCs w:val="28"/>
        </w:rPr>
        <w:t>“</w:t>
      </w:r>
      <w:r w:rsidRPr="009A25D9">
        <w:rPr>
          <w:rFonts w:ascii="Times New Roman" w:eastAsia="Times New Roman" w:hAnsi="Times New Roman"/>
          <w:color w:val="000000"/>
          <w:sz w:val="28"/>
          <w:szCs w:val="28"/>
        </w:rPr>
        <w:t>A party asserting that a fact cannot be or is genuinely disputed must support the assertion by:</w:t>
      </w:r>
    </w:p>
    <w:p w:rsidR="005F5428" w:rsidRPr="009A25D9" w:rsidRDefault="005F5428" w:rsidP="005F5428">
      <w:pPr>
        <w:spacing w:after="0" w:line="390" w:lineRule="atLeast"/>
        <w:ind w:left="1512" w:hanging="504"/>
        <w:rPr>
          <w:rFonts w:ascii="Times New Roman" w:eastAsia="Times New Roman" w:hAnsi="Times New Roman"/>
          <w:color w:val="000000"/>
          <w:sz w:val="28"/>
          <w:szCs w:val="28"/>
        </w:rPr>
      </w:pPr>
      <w:r w:rsidRPr="009A25D9">
        <w:rPr>
          <w:rFonts w:ascii="Times New Roman" w:eastAsia="Times New Roman" w:hAnsi="Times New Roman"/>
          <w:b/>
          <w:bCs/>
          <w:color w:val="000000"/>
          <w:sz w:val="28"/>
          <w:szCs w:val="28"/>
        </w:rPr>
        <w:t>(A)</w:t>
      </w:r>
      <w:r w:rsidRPr="009A25D9">
        <w:rPr>
          <w:rFonts w:ascii="Times New Roman" w:eastAsia="Times New Roman" w:hAnsi="Times New Roman"/>
          <w:color w:val="000000"/>
          <w:sz w:val="28"/>
          <w:szCs w:val="28"/>
        </w:rPr>
        <w:t> citing to particular parts of materials in the record, including depositions, documents, electronically stored information, affidavits or declarations, stipulations (including those made for purposes of the motion only), admissions, interrogatory answers, or other materials; or</w:t>
      </w:r>
    </w:p>
    <w:p w:rsidR="005F5428" w:rsidRPr="009A25D9" w:rsidRDefault="005F5428" w:rsidP="005F5428">
      <w:pPr>
        <w:spacing w:after="0" w:line="390" w:lineRule="atLeast"/>
        <w:ind w:left="1512" w:hanging="504"/>
        <w:rPr>
          <w:rFonts w:ascii="Times New Roman" w:eastAsia="Times New Roman" w:hAnsi="Times New Roman"/>
          <w:color w:val="000000"/>
          <w:sz w:val="28"/>
          <w:szCs w:val="28"/>
        </w:rPr>
      </w:pPr>
      <w:r w:rsidRPr="009A25D9">
        <w:rPr>
          <w:rFonts w:ascii="Times New Roman" w:eastAsia="Times New Roman" w:hAnsi="Times New Roman"/>
          <w:b/>
          <w:bCs/>
          <w:color w:val="000000"/>
          <w:sz w:val="28"/>
          <w:szCs w:val="28"/>
        </w:rPr>
        <w:t>(B)</w:t>
      </w:r>
      <w:r w:rsidRPr="009A25D9">
        <w:rPr>
          <w:rFonts w:ascii="Times New Roman" w:eastAsia="Times New Roman" w:hAnsi="Times New Roman"/>
          <w:color w:val="000000"/>
          <w:sz w:val="28"/>
          <w:szCs w:val="28"/>
        </w:rPr>
        <w:t> showing that the materials cited do not establish the absence or presence of a genuine dispute, or that an adverse party cannot produce admissible evidence to support the fact.</w:t>
      </w:r>
    </w:p>
    <w:p w:rsidR="005F5428" w:rsidRPr="009A25D9" w:rsidRDefault="005F5428" w:rsidP="005F5428">
      <w:pPr>
        <w:spacing w:after="0" w:line="390" w:lineRule="atLeast"/>
        <w:ind w:left="1512" w:hanging="504"/>
        <w:jc w:val="both"/>
        <w:rPr>
          <w:rFonts w:ascii="Times New Roman" w:eastAsia="Times New Roman" w:hAnsi="Times New Roman"/>
          <w:color w:val="000000"/>
          <w:sz w:val="28"/>
          <w:szCs w:val="28"/>
        </w:rPr>
      </w:pPr>
    </w:p>
    <w:p w:rsidR="005F5428" w:rsidRPr="009A25D9" w:rsidRDefault="005F5428" w:rsidP="005F5428">
      <w:pPr>
        <w:spacing w:after="0" w:line="390" w:lineRule="atLeast"/>
        <w:ind w:left="504" w:hanging="504"/>
        <w:jc w:val="both"/>
        <w:rPr>
          <w:rFonts w:ascii="Times New Roman" w:eastAsia="Times New Roman" w:hAnsi="Times New Roman"/>
          <w:color w:val="000000"/>
          <w:sz w:val="28"/>
          <w:szCs w:val="28"/>
        </w:rPr>
      </w:pPr>
      <w:r w:rsidRPr="009A25D9">
        <w:rPr>
          <w:rFonts w:ascii="Times New Roman" w:eastAsia="Times New Roman" w:hAnsi="Times New Roman"/>
          <w:color w:val="000000"/>
          <w:sz w:val="28"/>
          <w:szCs w:val="28"/>
        </w:rPr>
        <w:t>Finally, 56 (e) states:</w:t>
      </w:r>
    </w:p>
    <w:p w:rsidR="005F5428" w:rsidRPr="009A25D9" w:rsidRDefault="005F5428" w:rsidP="005F5428">
      <w:pPr>
        <w:spacing w:after="0" w:line="390" w:lineRule="atLeast"/>
        <w:ind w:left="504" w:hanging="504"/>
        <w:jc w:val="both"/>
        <w:rPr>
          <w:rFonts w:ascii="Times New Roman" w:eastAsia="Times New Roman" w:hAnsi="Times New Roman"/>
          <w:color w:val="000000"/>
          <w:sz w:val="28"/>
          <w:szCs w:val="28"/>
        </w:rPr>
      </w:pPr>
    </w:p>
    <w:p w:rsidR="005F5428" w:rsidRPr="009A25D9" w:rsidRDefault="005F5428" w:rsidP="005F5428">
      <w:pPr>
        <w:spacing w:after="0" w:line="390" w:lineRule="atLeast"/>
        <w:ind w:left="504" w:hanging="504"/>
        <w:rPr>
          <w:rFonts w:ascii="Times New Roman" w:eastAsia="Times New Roman" w:hAnsi="Times New Roman"/>
          <w:color w:val="000000"/>
          <w:sz w:val="28"/>
          <w:szCs w:val="28"/>
        </w:rPr>
      </w:pPr>
      <w:r w:rsidRPr="009A25D9">
        <w:rPr>
          <w:rFonts w:ascii="Times New Roman" w:eastAsia="Times New Roman" w:hAnsi="Times New Roman"/>
          <w:color w:val="000000"/>
          <w:sz w:val="28"/>
          <w:szCs w:val="28"/>
        </w:rPr>
        <w:t>If a party fails to properly support an assertion of fact or fails to properly address another party’s assertion of fact as required by Rule 56(c), the court may:</w:t>
      </w:r>
    </w:p>
    <w:p w:rsidR="005F5428" w:rsidRPr="009A25D9" w:rsidRDefault="005F5428" w:rsidP="005F5428">
      <w:pPr>
        <w:spacing w:after="0" w:line="390" w:lineRule="atLeast"/>
        <w:ind w:left="1008" w:hanging="504"/>
        <w:rPr>
          <w:rFonts w:ascii="Times New Roman" w:eastAsia="Times New Roman" w:hAnsi="Times New Roman"/>
          <w:color w:val="000000"/>
          <w:sz w:val="28"/>
          <w:szCs w:val="28"/>
        </w:rPr>
      </w:pPr>
      <w:r w:rsidRPr="009A25D9">
        <w:rPr>
          <w:rFonts w:ascii="Times New Roman" w:eastAsia="Times New Roman" w:hAnsi="Times New Roman"/>
          <w:b/>
          <w:bCs/>
          <w:color w:val="000000"/>
          <w:sz w:val="28"/>
          <w:szCs w:val="28"/>
        </w:rPr>
        <w:t>(1)</w:t>
      </w:r>
      <w:r w:rsidRPr="009A25D9">
        <w:rPr>
          <w:rFonts w:ascii="Times New Roman" w:eastAsia="Times New Roman" w:hAnsi="Times New Roman"/>
          <w:color w:val="000000"/>
          <w:sz w:val="28"/>
          <w:szCs w:val="28"/>
        </w:rPr>
        <w:t> give an opportunity to properly support or address the fact;</w:t>
      </w:r>
    </w:p>
    <w:p w:rsidR="005F5428" w:rsidRPr="009A25D9" w:rsidRDefault="005F5428" w:rsidP="005F5428">
      <w:pPr>
        <w:spacing w:after="0" w:line="390" w:lineRule="atLeast"/>
        <w:ind w:left="1008" w:hanging="504"/>
        <w:rPr>
          <w:rFonts w:ascii="Times New Roman" w:eastAsia="Times New Roman" w:hAnsi="Times New Roman"/>
          <w:color w:val="000000"/>
          <w:sz w:val="28"/>
          <w:szCs w:val="28"/>
        </w:rPr>
      </w:pPr>
      <w:r w:rsidRPr="009A25D9">
        <w:rPr>
          <w:rFonts w:ascii="Times New Roman" w:eastAsia="Times New Roman" w:hAnsi="Times New Roman"/>
          <w:b/>
          <w:bCs/>
          <w:color w:val="000000"/>
          <w:sz w:val="28"/>
          <w:szCs w:val="28"/>
        </w:rPr>
        <w:t>(2)</w:t>
      </w:r>
      <w:r w:rsidRPr="009A25D9">
        <w:rPr>
          <w:rFonts w:ascii="Times New Roman" w:eastAsia="Times New Roman" w:hAnsi="Times New Roman"/>
          <w:color w:val="000000"/>
          <w:sz w:val="28"/>
          <w:szCs w:val="28"/>
        </w:rPr>
        <w:t> consider the fact undisputed for purposes of the motion;</w:t>
      </w:r>
    </w:p>
    <w:p w:rsidR="005F5428" w:rsidRPr="009A25D9" w:rsidRDefault="005F5428" w:rsidP="005F5428">
      <w:pPr>
        <w:spacing w:after="0" w:line="390" w:lineRule="atLeast"/>
        <w:ind w:left="1008" w:hanging="504"/>
        <w:rPr>
          <w:rFonts w:ascii="Times New Roman" w:eastAsia="Times New Roman" w:hAnsi="Times New Roman"/>
          <w:color w:val="000000"/>
          <w:sz w:val="28"/>
          <w:szCs w:val="28"/>
        </w:rPr>
      </w:pPr>
      <w:r w:rsidRPr="009A25D9">
        <w:rPr>
          <w:rFonts w:ascii="Times New Roman" w:eastAsia="Times New Roman" w:hAnsi="Times New Roman"/>
          <w:b/>
          <w:bCs/>
          <w:color w:val="000000"/>
          <w:sz w:val="28"/>
          <w:szCs w:val="28"/>
        </w:rPr>
        <w:t>(3)</w:t>
      </w:r>
      <w:r w:rsidRPr="009A25D9">
        <w:rPr>
          <w:rFonts w:ascii="Times New Roman" w:eastAsia="Times New Roman" w:hAnsi="Times New Roman"/>
          <w:color w:val="000000"/>
          <w:sz w:val="28"/>
          <w:szCs w:val="28"/>
        </w:rPr>
        <w:t> grant summary judgment if the motion and supporting materials — including the facts considered undisputed — show that the movant is entitled to it; or</w:t>
      </w:r>
    </w:p>
    <w:p w:rsidR="005F5428" w:rsidRPr="009A25D9" w:rsidRDefault="005F5428" w:rsidP="005F5428">
      <w:pPr>
        <w:spacing w:after="0" w:line="390" w:lineRule="atLeast"/>
        <w:ind w:left="1008" w:hanging="504"/>
        <w:rPr>
          <w:rFonts w:ascii="Times New Roman" w:eastAsia="Times New Roman" w:hAnsi="Times New Roman"/>
          <w:color w:val="000000"/>
          <w:sz w:val="28"/>
          <w:szCs w:val="28"/>
        </w:rPr>
      </w:pPr>
      <w:r w:rsidRPr="009A25D9">
        <w:rPr>
          <w:rFonts w:ascii="Times New Roman" w:eastAsia="Times New Roman" w:hAnsi="Times New Roman"/>
          <w:b/>
          <w:bCs/>
          <w:color w:val="000000"/>
          <w:sz w:val="28"/>
          <w:szCs w:val="28"/>
        </w:rPr>
        <w:t>(4)</w:t>
      </w:r>
      <w:r w:rsidRPr="009A25D9">
        <w:rPr>
          <w:rFonts w:ascii="Times New Roman" w:eastAsia="Times New Roman" w:hAnsi="Times New Roman"/>
          <w:color w:val="000000"/>
          <w:sz w:val="28"/>
          <w:szCs w:val="28"/>
        </w:rPr>
        <w:t> issue any other appropriate order.</w:t>
      </w:r>
    </w:p>
    <w:p w:rsidR="005F5428" w:rsidRPr="009A25D9" w:rsidRDefault="005F5428" w:rsidP="005F5428">
      <w:pPr>
        <w:spacing w:after="0" w:line="390" w:lineRule="atLeast"/>
        <w:ind w:left="504" w:hanging="504"/>
        <w:jc w:val="both"/>
        <w:rPr>
          <w:rFonts w:ascii="Times New Roman" w:eastAsia="Times New Roman" w:hAnsi="Times New Roman"/>
          <w:color w:val="000000"/>
          <w:sz w:val="28"/>
          <w:szCs w:val="28"/>
        </w:rPr>
      </w:pPr>
    </w:p>
    <w:p w:rsidR="005F5428" w:rsidRPr="009A25D9" w:rsidRDefault="005F5428" w:rsidP="005F5428">
      <w:pPr>
        <w:spacing w:after="0" w:line="390" w:lineRule="atLeast"/>
        <w:ind w:left="504" w:hanging="504"/>
        <w:jc w:val="both"/>
        <w:rPr>
          <w:rFonts w:ascii="Times New Roman" w:eastAsia="Times New Roman" w:hAnsi="Times New Roman"/>
          <w:color w:val="000000"/>
          <w:sz w:val="28"/>
          <w:szCs w:val="28"/>
        </w:rPr>
      </w:pPr>
    </w:p>
    <w:p w:rsidR="005F5428" w:rsidRPr="009A25D9" w:rsidRDefault="005F5428" w:rsidP="005F5428">
      <w:pPr>
        <w:spacing w:after="0" w:line="390" w:lineRule="atLeast"/>
        <w:ind w:left="504" w:hanging="504"/>
        <w:jc w:val="both"/>
        <w:rPr>
          <w:rFonts w:ascii="Times New Roman" w:eastAsia="Times New Roman" w:hAnsi="Times New Roman"/>
          <w:color w:val="000000"/>
          <w:sz w:val="28"/>
          <w:szCs w:val="28"/>
        </w:rPr>
      </w:pPr>
    </w:p>
    <w:p w:rsidR="00E7685E" w:rsidRDefault="00EF54B1" w:rsidP="00EF54B1">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jc w:val="center"/>
        <w:rPr>
          <w:rFonts w:ascii="Times New Roman" w:hAnsi="Times New Roman"/>
          <w:b/>
          <w:sz w:val="28"/>
          <w:szCs w:val="28"/>
        </w:rPr>
      </w:pPr>
      <w:r>
        <w:rPr>
          <w:rFonts w:ascii="Times New Roman" w:hAnsi="Times New Roman"/>
          <w:sz w:val="28"/>
          <w:szCs w:val="28"/>
        </w:rPr>
        <w:lastRenderedPageBreak/>
        <w:tab/>
      </w:r>
      <w:r w:rsidRPr="00EF54B1">
        <w:rPr>
          <w:rFonts w:ascii="Times New Roman" w:hAnsi="Times New Roman"/>
          <w:b/>
          <w:sz w:val="28"/>
          <w:szCs w:val="28"/>
        </w:rPr>
        <w:t>Support for Summary Judg</w:t>
      </w:r>
      <w:r>
        <w:rPr>
          <w:rFonts w:ascii="Times New Roman" w:hAnsi="Times New Roman"/>
          <w:b/>
          <w:sz w:val="28"/>
          <w:szCs w:val="28"/>
        </w:rPr>
        <w:t>e</w:t>
      </w:r>
      <w:r w:rsidRPr="00EF54B1">
        <w:rPr>
          <w:rFonts w:ascii="Times New Roman" w:hAnsi="Times New Roman"/>
          <w:b/>
          <w:sz w:val="28"/>
          <w:szCs w:val="28"/>
        </w:rPr>
        <w:t>ment Motion</w:t>
      </w:r>
    </w:p>
    <w:p w:rsidR="00EF54B1" w:rsidRPr="00EF54B1" w:rsidRDefault="00EF54B1" w:rsidP="00EF54B1">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jc w:val="center"/>
        <w:rPr>
          <w:rFonts w:ascii="Times New Roman" w:hAnsi="Times New Roman"/>
          <w:b/>
          <w:sz w:val="28"/>
          <w:szCs w:val="28"/>
        </w:rPr>
      </w:pPr>
    </w:p>
    <w:p w:rsidR="00B37D72" w:rsidRPr="009A25D9" w:rsidRDefault="007D5D6D" w:rsidP="00B37D7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contextualSpacing/>
        <w:rPr>
          <w:rFonts w:ascii="Times New Roman" w:hAnsi="Times New Roman"/>
          <w:sz w:val="28"/>
          <w:szCs w:val="28"/>
        </w:rPr>
      </w:pPr>
      <w:r w:rsidRPr="009A25D9">
        <w:rPr>
          <w:rFonts w:ascii="Times New Roman" w:hAnsi="Times New Roman"/>
          <w:sz w:val="28"/>
          <w:szCs w:val="28"/>
        </w:rPr>
        <w:t>PLAINTIFF</w:t>
      </w:r>
      <w:r w:rsidR="00B37D72" w:rsidRPr="009A25D9">
        <w:rPr>
          <w:rFonts w:ascii="Times New Roman" w:hAnsi="Times New Roman"/>
          <w:sz w:val="28"/>
          <w:szCs w:val="28"/>
        </w:rPr>
        <w:t xml:space="preserve"> </w:t>
      </w:r>
      <w:r w:rsidR="00274FBC" w:rsidRPr="009A25D9">
        <w:rPr>
          <w:rFonts w:ascii="Times New Roman" w:hAnsi="Times New Roman"/>
          <w:sz w:val="28"/>
          <w:szCs w:val="28"/>
        </w:rPr>
        <w:t>MADZIMOYO</w:t>
      </w:r>
      <w:r w:rsidR="00B37D72" w:rsidRPr="009A25D9">
        <w:rPr>
          <w:rFonts w:ascii="Times New Roman" w:hAnsi="Times New Roman"/>
          <w:sz w:val="28"/>
          <w:szCs w:val="28"/>
        </w:rPr>
        <w:t xml:space="preserve"> contends that there is no genuine dispute</w:t>
      </w:r>
      <w:r w:rsidR="005F5428" w:rsidRPr="009A25D9">
        <w:rPr>
          <w:rFonts w:ascii="Times New Roman" w:hAnsi="Times New Roman"/>
          <w:sz w:val="28"/>
          <w:szCs w:val="28"/>
        </w:rPr>
        <w:t xml:space="preserve"> and/or that the DEFENDANTS have </w:t>
      </w:r>
      <w:r w:rsidR="00A707F1" w:rsidRPr="009A25D9">
        <w:rPr>
          <w:rFonts w:ascii="Times New Roman" w:hAnsi="Times New Roman"/>
          <w:sz w:val="28"/>
          <w:szCs w:val="28"/>
        </w:rPr>
        <w:t xml:space="preserve">admitted or </w:t>
      </w:r>
      <w:r w:rsidR="005F5428" w:rsidRPr="009A25D9">
        <w:rPr>
          <w:rFonts w:ascii="Times New Roman" w:hAnsi="Times New Roman"/>
          <w:sz w:val="28"/>
          <w:szCs w:val="28"/>
        </w:rPr>
        <w:t>failed to properly address the assertions of fact as required by Rule 56</w:t>
      </w:r>
      <w:r w:rsidR="000A3C74" w:rsidRPr="009A25D9">
        <w:rPr>
          <w:rFonts w:ascii="Times New Roman" w:hAnsi="Times New Roman"/>
          <w:sz w:val="28"/>
          <w:szCs w:val="28"/>
        </w:rPr>
        <w:t xml:space="preserve"> ( c )</w:t>
      </w:r>
      <w:r w:rsidR="00B37D72" w:rsidRPr="009A25D9">
        <w:rPr>
          <w:rFonts w:ascii="Times New Roman" w:hAnsi="Times New Roman"/>
          <w:sz w:val="28"/>
          <w:szCs w:val="28"/>
        </w:rPr>
        <w:t xml:space="preserve"> concerning the following </w:t>
      </w:r>
      <w:r w:rsidR="00C63C72" w:rsidRPr="009A25D9">
        <w:rPr>
          <w:rFonts w:ascii="Times New Roman" w:hAnsi="Times New Roman"/>
          <w:sz w:val="28"/>
          <w:szCs w:val="28"/>
        </w:rPr>
        <w:t xml:space="preserve">statement of </w:t>
      </w:r>
      <w:r w:rsidR="00B37D72" w:rsidRPr="009A25D9">
        <w:rPr>
          <w:rFonts w:ascii="Times New Roman" w:hAnsi="Times New Roman"/>
          <w:sz w:val="28"/>
          <w:szCs w:val="28"/>
        </w:rPr>
        <w:t>material facts</w:t>
      </w:r>
      <w:r w:rsidR="008C183D" w:rsidRPr="009A25D9">
        <w:rPr>
          <w:rFonts w:ascii="Times New Roman" w:hAnsi="Times New Roman"/>
          <w:sz w:val="28"/>
          <w:szCs w:val="28"/>
        </w:rPr>
        <w:t xml:space="preserve"> </w:t>
      </w:r>
      <w:r w:rsidR="00B37D72" w:rsidRPr="009A25D9">
        <w:rPr>
          <w:rFonts w:ascii="Times New Roman" w:hAnsi="Times New Roman"/>
          <w:sz w:val="28"/>
          <w:szCs w:val="28"/>
        </w:rPr>
        <w:t>:</w:t>
      </w:r>
    </w:p>
    <w:p w:rsidR="00A707F1" w:rsidRPr="009A25D9" w:rsidRDefault="00274FBC" w:rsidP="00B37D72">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PLAINTIFF MADZIMOYO</w:t>
      </w:r>
      <w:r w:rsidR="00E55C69" w:rsidRPr="009A25D9">
        <w:rPr>
          <w:rFonts w:ascii="Times New Roman" w:hAnsi="Times New Roman"/>
          <w:sz w:val="28"/>
          <w:szCs w:val="28"/>
        </w:rPr>
        <w:t xml:space="preserve"> signed a security deed with FT MORTGAGE COMPANIES DBA EQUIBANC MORTGAGE CORPORATION on March 23, 1999 which was recorded in the office of the clerk of the superior court of DEKALB COUNTY.</w:t>
      </w:r>
      <w:r w:rsidR="006728CF" w:rsidRPr="009A25D9">
        <w:rPr>
          <w:rFonts w:ascii="Times New Roman" w:hAnsi="Times New Roman"/>
          <w:sz w:val="28"/>
          <w:szCs w:val="28"/>
        </w:rPr>
        <w:t xml:space="preserve"> (See Security Deed Attachment to ORIGINAL COMPLAINT.)</w:t>
      </w:r>
    </w:p>
    <w:p w:rsidR="00A707F1" w:rsidRPr="009A25D9" w:rsidRDefault="00A707F1"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 xml:space="preserve">Plaintiff has maintained that the DEFENDANTS violated OCGA 44-14-162 (a-c). Defendants haven't presented any documents or evidence to challenge that assertion. OCGA 44-14-162 (b)  specifically asserts </w:t>
      </w:r>
    </w:p>
    <w:p w:rsidR="00A707F1" w:rsidRPr="009A25D9" w:rsidRDefault="00A707F1" w:rsidP="00A707F1">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986" w:right="-576"/>
        <w:rPr>
          <w:rFonts w:ascii="Times New Roman" w:hAnsi="Times New Roman"/>
          <w:sz w:val="28"/>
          <w:szCs w:val="28"/>
        </w:rPr>
      </w:pPr>
      <w:r w:rsidRPr="009A25D9">
        <w:rPr>
          <w:rFonts w:ascii="Times New Roman" w:hAnsi="Times New Roman"/>
          <w:sz w:val="28"/>
          <w:szCs w:val="28"/>
        </w:rPr>
        <w:t>"The security instrument or assignment thereof vesting the secured creditor with title to the security instrument shall be filed prior to the time of sale in the office of the clerk of the superior court of the county in which the real property is located."</w:t>
      </w:r>
    </w:p>
    <w:p w:rsidR="00A707F1" w:rsidRPr="009A25D9" w:rsidRDefault="00A707F1" w:rsidP="00A707F1">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p>
    <w:p w:rsidR="00A707F1" w:rsidRPr="009A25D9" w:rsidRDefault="00A707F1"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lastRenderedPageBreak/>
        <w:t>Defendants began the process without the proper filing. While this is the law, improper filing alone isn't fatal if such a valid security instrument or assignment exists prior to the foreclosure proceedings</w:t>
      </w:r>
      <w:r w:rsidR="00277771">
        <w:rPr>
          <w:rFonts w:ascii="Times New Roman" w:hAnsi="Times New Roman"/>
          <w:sz w:val="28"/>
          <w:szCs w:val="28"/>
        </w:rPr>
        <w:t xml:space="preserve"> and can be validated</w:t>
      </w:r>
      <w:r w:rsidR="00EF54B1">
        <w:rPr>
          <w:rFonts w:ascii="Times New Roman" w:hAnsi="Times New Roman"/>
          <w:sz w:val="28"/>
          <w:szCs w:val="28"/>
        </w:rPr>
        <w:t>;</w:t>
      </w:r>
      <w:r w:rsidRPr="009A25D9">
        <w:rPr>
          <w:rFonts w:ascii="Times New Roman" w:hAnsi="Times New Roman"/>
          <w:sz w:val="28"/>
          <w:szCs w:val="28"/>
        </w:rPr>
        <w:t xml:space="preserve"> hence</w:t>
      </w:r>
      <w:r w:rsidR="00EF54B1">
        <w:rPr>
          <w:rFonts w:ascii="Times New Roman" w:hAnsi="Times New Roman"/>
          <w:sz w:val="28"/>
          <w:szCs w:val="28"/>
        </w:rPr>
        <w:t>,</w:t>
      </w:r>
      <w:r w:rsidR="00277771">
        <w:rPr>
          <w:rFonts w:ascii="Times New Roman" w:hAnsi="Times New Roman"/>
          <w:sz w:val="28"/>
          <w:szCs w:val="28"/>
        </w:rPr>
        <w:t xml:space="preserve"> DeKalb County Superior Court </w:t>
      </w:r>
      <w:r w:rsidRPr="009A25D9">
        <w:rPr>
          <w:rFonts w:ascii="Times New Roman" w:hAnsi="Times New Roman"/>
          <w:sz w:val="28"/>
          <w:szCs w:val="28"/>
        </w:rPr>
        <w:t xml:space="preserve">Judge </w:t>
      </w:r>
      <w:r w:rsidR="00277771">
        <w:rPr>
          <w:rFonts w:ascii="Times New Roman" w:hAnsi="Times New Roman"/>
          <w:sz w:val="28"/>
          <w:szCs w:val="28"/>
        </w:rPr>
        <w:t xml:space="preserve">Tangela </w:t>
      </w:r>
      <w:r w:rsidRPr="009A25D9">
        <w:rPr>
          <w:rFonts w:ascii="Times New Roman" w:hAnsi="Times New Roman"/>
          <w:sz w:val="28"/>
          <w:szCs w:val="28"/>
        </w:rPr>
        <w:t xml:space="preserve">Barrie's order, baring The DEFENDANTS from continuing the foreclosure process on The Plaintiff and SUBJECT PROPERTY until the Defendants “bring evidence of the chain of title.” </w:t>
      </w:r>
    </w:p>
    <w:p w:rsidR="00A707F1" w:rsidRPr="009A25D9" w:rsidRDefault="0075063D"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 xml:space="preserve">While </w:t>
      </w:r>
      <w:r w:rsidR="00A707F1" w:rsidRPr="009A25D9">
        <w:rPr>
          <w:rFonts w:ascii="Times New Roman" w:hAnsi="Times New Roman"/>
          <w:sz w:val="28"/>
          <w:szCs w:val="28"/>
        </w:rPr>
        <w:t>the Defendants have not provided such evidence</w:t>
      </w:r>
      <w:r w:rsidRPr="009A25D9">
        <w:rPr>
          <w:rFonts w:ascii="Times New Roman" w:hAnsi="Times New Roman"/>
          <w:sz w:val="28"/>
          <w:szCs w:val="28"/>
        </w:rPr>
        <w:t xml:space="preserve"> of the chain of title</w:t>
      </w:r>
      <w:r w:rsidR="00A707F1" w:rsidRPr="009A25D9">
        <w:rPr>
          <w:rFonts w:ascii="Times New Roman" w:hAnsi="Times New Roman"/>
          <w:sz w:val="28"/>
          <w:szCs w:val="28"/>
        </w:rPr>
        <w:t xml:space="preserve"> to either </w:t>
      </w:r>
      <w:r w:rsidRPr="009A25D9">
        <w:rPr>
          <w:rFonts w:ascii="Times New Roman" w:hAnsi="Times New Roman"/>
          <w:sz w:val="28"/>
          <w:szCs w:val="28"/>
        </w:rPr>
        <w:t>Court, they have filed an assignment with the DeKalb County Superior Court which admits that they broke GA Law as the Plaintiff contends, fails to establish the chain of title, and raises further serious questions about their standing on the matter of the Subject Property.</w:t>
      </w:r>
    </w:p>
    <w:p w:rsidR="00A707F1" w:rsidRPr="009A25D9" w:rsidRDefault="00A707F1"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 xml:space="preserve">According to the attached Affidavit, Plaintiff Madzimoyo testifies </w:t>
      </w:r>
    </w:p>
    <w:p w:rsidR="00BA7FB9" w:rsidRDefault="00A707F1" w:rsidP="0075063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r w:rsidRPr="009A25D9">
        <w:rPr>
          <w:rFonts w:ascii="Times New Roman" w:hAnsi="Times New Roman"/>
          <w:sz w:val="28"/>
          <w:szCs w:val="28"/>
        </w:rPr>
        <w:t>"On December 20, 2010 I searched both the State an</w:t>
      </w:r>
      <w:r w:rsidR="0075063D" w:rsidRPr="009A25D9">
        <w:rPr>
          <w:rFonts w:ascii="Times New Roman" w:hAnsi="Times New Roman"/>
          <w:sz w:val="28"/>
          <w:szCs w:val="28"/>
        </w:rPr>
        <w:t>d Federal Records to see if the Defendants</w:t>
      </w:r>
      <w:r w:rsidRPr="009A25D9">
        <w:rPr>
          <w:rFonts w:ascii="Times New Roman" w:hAnsi="Times New Roman"/>
          <w:sz w:val="28"/>
          <w:szCs w:val="28"/>
        </w:rPr>
        <w:t xml:space="preserve"> had complied with Ju</w:t>
      </w:r>
      <w:r w:rsidR="00EF54B1">
        <w:rPr>
          <w:rFonts w:ascii="Times New Roman" w:hAnsi="Times New Roman"/>
          <w:sz w:val="28"/>
          <w:szCs w:val="28"/>
        </w:rPr>
        <w:t>d</w:t>
      </w:r>
      <w:r w:rsidRPr="009A25D9">
        <w:rPr>
          <w:rFonts w:ascii="Times New Roman" w:hAnsi="Times New Roman"/>
          <w:sz w:val="28"/>
          <w:szCs w:val="28"/>
        </w:rPr>
        <w:t>ge Barrie's order</w:t>
      </w:r>
      <w:r w:rsidR="0075063D" w:rsidRPr="009A25D9">
        <w:rPr>
          <w:rFonts w:ascii="Times New Roman" w:hAnsi="Times New Roman"/>
          <w:sz w:val="28"/>
          <w:szCs w:val="28"/>
        </w:rPr>
        <w:t>,</w:t>
      </w:r>
      <w:r w:rsidRPr="009A25D9">
        <w:rPr>
          <w:rFonts w:ascii="Times New Roman" w:hAnsi="Times New Roman"/>
          <w:sz w:val="28"/>
          <w:szCs w:val="28"/>
        </w:rPr>
        <w:t xml:space="preserve"> or have placed anything in the case or real estate file for </w:t>
      </w:r>
      <w:r w:rsidR="0075063D" w:rsidRPr="009A25D9">
        <w:rPr>
          <w:rFonts w:ascii="Times New Roman" w:hAnsi="Times New Roman"/>
          <w:sz w:val="28"/>
          <w:szCs w:val="28"/>
        </w:rPr>
        <w:t xml:space="preserve">our home at 852 Brafferton Place Stone Mountain, GA.  </w:t>
      </w:r>
      <w:r w:rsidRPr="009A25D9">
        <w:rPr>
          <w:rFonts w:ascii="Times New Roman" w:hAnsi="Times New Roman"/>
          <w:sz w:val="28"/>
          <w:szCs w:val="28"/>
        </w:rPr>
        <w:t xml:space="preserve">To my surprise Clerk </w:t>
      </w:r>
      <w:r w:rsidR="00BA7FB9">
        <w:rPr>
          <w:rFonts w:ascii="Times New Roman" w:hAnsi="Times New Roman"/>
          <w:sz w:val="28"/>
          <w:szCs w:val="28"/>
        </w:rPr>
        <w:t xml:space="preserve">January Jackson </w:t>
      </w:r>
      <w:r w:rsidRPr="009A25D9">
        <w:rPr>
          <w:rFonts w:ascii="Times New Roman" w:hAnsi="Times New Roman"/>
          <w:sz w:val="28"/>
          <w:szCs w:val="28"/>
        </w:rPr>
        <w:t xml:space="preserve">of the Superior Court Real Estate Division searched, found and printed out </w:t>
      </w:r>
      <w:r w:rsidR="00EF54B1">
        <w:rPr>
          <w:rFonts w:ascii="Times New Roman" w:hAnsi="Times New Roman"/>
          <w:sz w:val="28"/>
          <w:szCs w:val="28"/>
        </w:rPr>
        <w:t xml:space="preserve">- at my request – a document entitled </w:t>
      </w:r>
      <w:r w:rsidRPr="009A25D9">
        <w:rPr>
          <w:rFonts w:ascii="Times New Roman" w:hAnsi="Times New Roman"/>
          <w:sz w:val="28"/>
          <w:szCs w:val="28"/>
        </w:rPr>
        <w:t xml:space="preserve">ASSIGNMENT OF NOTE AND SECURITY DEED. </w:t>
      </w:r>
      <w:r w:rsidR="00BA7FB9">
        <w:rPr>
          <w:rFonts w:ascii="Times New Roman" w:hAnsi="Times New Roman"/>
          <w:sz w:val="28"/>
          <w:szCs w:val="28"/>
        </w:rPr>
        <w:br/>
      </w:r>
      <w:r w:rsidR="00BA7FB9">
        <w:rPr>
          <w:rFonts w:ascii="Times New Roman" w:hAnsi="Times New Roman"/>
          <w:sz w:val="28"/>
          <w:szCs w:val="28"/>
        </w:rPr>
        <w:lastRenderedPageBreak/>
        <w:br/>
      </w:r>
      <w:r w:rsidRPr="009A25D9">
        <w:rPr>
          <w:rFonts w:ascii="Times New Roman" w:hAnsi="Times New Roman"/>
          <w:sz w:val="28"/>
          <w:szCs w:val="28"/>
        </w:rPr>
        <w:t>This document purports</w:t>
      </w:r>
      <w:r w:rsidR="00EF54B1">
        <w:rPr>
          <w:rFonts w:ascii="Times New Roman" w:hAnsi="Times New Roman"/>
          <w:sz w:val="28"/>
          <w:szCs w:val="28"/>
        </w:rPr>
        <w:t xml:space="preserve"> that</w:t>
      </w:r>
      <w:r w:rsidR="00A42EA3">
        <w:rPr>
          <w:rFonts w:ascii="Times New Roman" w:hAnsi="Times New Roman"/>
          <w:sz w:val="28"/>
          <w:szCs w:val="28"/>
        </w:rPr>
        <w:t>:</w:t>
      </w:r>
      <w:r w:rsidR="00EF54B1">
        <w:rPr>
          <w:rFonts w:ascii="Times New Roman" w:hAnsi="Times New Roman"/>
          <w:sz w:val="28"/>
          <w:szCs w:val="28"/>
        </w:rPr>
        <w:t xml:space="preserve"> </w:t>
      </w:r>
    </w:p>
    <w:p w:rsidR="00BA7FB9" w:rsidRDefault="00BA7FB9" w:rsidP="0075063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r>
        <w:rPr>
          <w:rFonts w:ascii="Times New Roman" w:hAnsi="Times New Roman"/>
          <w:sz w:val="28"/>
          <w:szCs w:val="28"/>
        </w:rPr>
        <w:t>[T</w:t>
      </w:r>
      <w:r w:rsidR="00EF54B1">
        <w:rPr>
          <w:rFonts w:ascii="Times New Roman" w:hAnsi="Times New Roman"/>
          <w:sz w:val="28"/>
          <w:szCs w:val="28"/>
        </w:rPr>
        <w:t xml:space="preserve">he </w:t>
      </w:r>
      <w:r w:rsidR="00A707F1" w:rsidRPr="009A25D9">
        <w:rPr>
          <w:rFonts w:ascii="Times New Roman" w:hAnsi="Times New Roman"/>
          <w:sz w:val="28"/>
          <w:szCs w:val="28"/>
        </w:rPr>
        <w:t>B</w:t>
      </w:r>
      <w:r>
        <w:rPr>
          <w:rFonts w:ascii="Times New Roman" w:hAnsi="Times New Roman"/>
          <w:sz w:val="28"/>
          <w:szCs w:val="28"/>
        </w:rPr>
        <w:t>ank of New York Mellon Trust Company, National Association fka The Bank of New York Trust Company, N.A. as successor to JPMorgan Chase Bank, N.A. as Trustee s/b/m to Bank One, N.A.</w:t>
      </w:r>
      <w:r w:rsidR="00A707F1" w:rsidRPr="009A25D9">
        <w:rPr>
          <w:rFonts w:ascii="Times New Roman" w:hAnsi="Times New Roman"/>
          <w:sz w:val="28"/>
          <w:szCs w:val="28"/>
        </w:rPr>
        <w:t>NYT as Trustee s/b/m to Bank One</w:t>
      </w:r>
      <w:r>
        <w:rPr>
          <w:rFonts w:ascii="Times New Roman" w:hAnsi="Times New Roman"/>
          <w:sz w:val="28"/>
          <w:szCs w:val="28"/>
        </w:rPr>
        <w:t xml:space="preserve"> </w:t>
      </w:r>
      <w:r w:rsidRPr="00BA7FB9">
        <w:rPr>
          <w:rFonts w:ascii="Times New Roman" w:hAnsi="Times New Roman"/>
          <w:b/>
          <w:sz w:val="28"/>
          <w:szCs w:val="28"/>
        </w:rPr>
        <w:t>(Assignor)</w:t>
      </w:r>
      <w:r>
        <w:rPr>
          <w:rFonts w:ascii="Times New Roman" w:hAnsi="Times New Roman"/>
          <w:sz w:val="28"/>
          <w:szCs w:val="28"/>
        </w:rPr>
        <w:t xml:space="preserve">] </w:t>
      </w:r>
    </w:p>
    <w:p w:rsidR="00A707F1" w:rsidRPr="009A25D9" w:rsidRDefault="00BA7FB9" w:rsidP="0075063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r>
        <w:rPr>
          <w:rFonts w:ascii="Times New Roman" w:hAnsi="Times New Roman"/>
          <w:sz w:val="28"/>
          <w:szCs w:val="28"/>
        </w:rPr>
        <w:t xml:space="preserve">assigned  Subject Property to </w:t>
      </w:r>
      <w:r w:rsidR="00A707F1" w:rsidRPr="009A25D9">
        <w:rPr>
          <w:rFonts w:ascii="Times New Roman" w:hAnsi="Times New Roman"/>
          <w:sz w:val="28"/>
          <w:szCs w:val="28"/>
        </w:rPr>
        <w:t xml:space="preserve"> </w:t>
      </w:r>
      <w:r>
        <w:rPr>
          <w:rFonts w:ascii="Times New Roman" w:hAnsi="Times New Roman"/>
          <w:sz w:val="28"/>
          <w:szCs w:val="28"/>
        </w:rPr>
        <w:br/>
        <w:t xml:space="preserve">[The </w:t>
      </w:r>
      <w:r w:rsidRPr="009A25D9">
        <w:rPr>
          <w:rFonts w:ascii="Times New Roman" w:hAnsi="Times New Roman"/>
          <w:sz w:val="28"/>
          <w:szCs w:val="28"/>
        </w:rPr>
        <w:t>B</w:t>
      </w:r>
      <w:r>
        <w:rPr>
          <w:rFonts w:ascii="Times New Roman" w:hAnsi="Times New Roman"/>
          <w:sz w:val="28"/>
          <w:szCs w:val="28"/>
        </w:rPr>
        <w:t>ank of New York Mellon Trust Company, National Association fka The Bank of New York Trust Company, N.A. as successor to JPMorgan Chase Bank, N.A. as Trustee for RAMP 2006RP2</w:t>
      </w:r>
      <w:r w:rsidRPr="00BA7FB9">
        <w:rPr>
          <w:rFonts w:ascii="Times New Roman" w:hAnsi="Times New Roman"/>
          <w:b/>
          <w:sz w:val="28"/>
          <w:szCs w:val="28"/>
        </w:rPr>
        <w:t xml:space="preserve"> (Assignee)</w:t>
      </w:r>
      <w:r>
        <w:rPr>
          <w:rFonts w:ascii="Times New Roman" w:hAnsi="Times New Roman"/>
          <w:sz w:val="28"/>
          <w:szCs w:val="28"/>
        </w:rPr>
        <w:t>]</w:t>
      </w:r>
    </w:p>
    <w:p w:rsidR="00A42EA3" w:rsidRPr="009A25D9" w:rsidRDefault="00277771" w:rsidP="00A42EA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r>
        <w:rPr>
          <w:rFonts w:ascii="Times New Roman" w:hAnsi="Times New Roman"/>
          <w:sz w:val="28"/>
          <w:szCs w:val="28"/>
        </w:rPr>
        <w:t>Madzimoyo continues: “</w:t>
      </w:r>
      <w:r w:rsidR="00A707F1" w:rsidRPr="009A25D9">
        <w:rPr>
          <w:rFonts w:ascii="Times New Roman" w:hAnsi="Times New Roman"/>
          <w:sz w:val="28"/>
          <w:szCs w:val="28"/>
        </w:rPr>
        <w:t xml:space="preserve">I noticed several problems with this document. The first of which is </w:t>
      </w:r>
      <w:r w:rsidR="00A42EA3">
        <w:rPr>
          <w:rFonts w:ascii="Times New Roman" w:hAnsi="Times New Roman"/>
          <w:sz w:val="28"/>
          <w:szCs w:val="28"/>
        </w:rPr>
        <w:t>the date of execution. I</w:t>
      </w:r>
      <w:r w:rsidR="00A707F1" w:rsidRPr="009A25D9">
        <w:rPr>
          <w:rFonts w:ascii="Times New Roman" w:hAnsi="Times New Roman"/>
          <w:sz w:val="28"/>
          <w:szCs w:val="28"/>
        </w:rPr>
        <w:t xml:space="preserve">t reads: "This Assignment of Note and Security Deed is executed on this </w:t>
      </w:r>
      <w:r w:rsidR="00A707F1" w:rsidRPr="00A42EA3">
        <w:rPr>
          <w:rFonts w:ascii="Times New Roman" w:hAnsi="Times New Roman"/>
          <w:b/>
          <w:sz w:val="28"/>
          <w:szCs w:val="28"/>
        </w:rPr>
        <w:t>8th day of February, 2010.</w:t>
      </w:r>
      <w:r w:rsidR="00A707F1" w:rsidRPr="009A25D9">
        <w:rPr>
          <w:rFonts w:ascii="Times New Roman" w:hAnsi="Times New Roman"/>
          <w:sz w:val="28"/>
          <w:szCs w:val="28"/>
        </w:rPr>
        <w:t xml:space="preserve"> Even if this document were legitimate</w:t>
      </w:r>
      <w:r w:rsidR="0075063D" w:rsidRPr="009A25D9">
        <w:rPr>
          <w:rFonts w:ascii="Times New Roman" w:hAnsi="Times New Roman"/>
          <w:sz w:val="28"/>
          <w:szCs w:val="28"/>
        </w:rPr>
        <w:t>,</w:t>
      </w:r>
      <w:r w:rsidR="00A707F1" w:rsidRPr="009A25D9">
        <w:rPr>
          <w:rFonts w:ascii="Times New Roman" w:hAnsi="Times New Roman"/>
          <w:sz w:val="28"/>
          <w:szCs w:val="28"/>
        </w:rPr>
        <w:t xml:space="preserve"> it comes 8 months after the DEFENDANTS commenced foreclosure actions against me and my house.”</w:t>
      </w:r>
      <w:r w:rsidR="00A42EA3">
        <w:rPr>
          <w:rFonts w:ascii="Times New Roman" w:hAnsi="Times New Roman"/>
          <w:sz w:val="28"/>
          <w:szCs w:val="28"/>
        </w:rPr>
        <w:t xml:space="preserve">  It is absolute fraud for the for MCCurdy and Candler to start to foreclose on my home in the name of The </w:t>
      </w:r>
      <w:r w:rsidR="00A42EA3" w:rsidRPr="009A25D9">
        <w:rPr>
          <w:rFonts w:ascii="Times New Roman" w:hAnsi="Times New Roman"/>
          <w:sz w:val="28"/>
          <w:szCs w:val="28"/>
        </w:rPr>
        <w:t>B</w:t>
      </w:r>
      <w:r w:rsidR="00A42EA3">
        <w:rPr>
          <w:rFonts w:ascii="Times New Roman" w:hAnsi="Times New Roman"/>
          <w:sz w:val="28"/>
          <w:szCs w:val="28"/>
        </w:rPr>
        <w:t xml:space="preserve">ank of New York Mellon Trust Company, National Association fka The Bank of New York Trust Company, N.A. as successor to JPMorgan Chase Bank, N.A. as Trustee for </w:t>
      </w:r>
      <w:r w:rsidR="00A42EA3">
        <w:rPr>
          <w:rFonts w:ascii="Times New Roman" w:hAnsi="Times New Roman"/>
          <w:sz w:val="28"/>
          <w:szCs w:val="28"/>
        </w:rPr>
        <w:lastRenderedPageBreak/>
        <w:t>RAMP 2006RP2</w:t>
      </w:r>
      <w:r w:rsidR="00A42EA3" w:rsidRPr="00BA7FB9">
        <w:rPr>
          <w:rFonts w:ascii="Times New Roman" w:hAnsi="Times New Roman"/>
          <w:b/>
          <w:sz w:val="28"/>
          <w:szCs w:val="28"/>
        </w:rPr>
        <w:t xml:space="preserve"> </w:t>
      </w:r>
      <w:r w:rsidR="00A42EA3">
        <w:rPr>
          <w:rFonts w:ascii="Times New Roman" w:hAnsi="Times New Roman"/>
          <w:b/>
          <w:sz w:val="28"/>
          <w:szCs w:val="28"/>
        </w:rPr>
        <w:t>when were not (and probably still are not) secured creditors for my home at 852 Brafferton Place Stone Mountain, GA 30083.</w:t>
      </w:r>
    </w:p>
    <w:p w:rsidR="00A707F1" w:rsidRPr="009A25D9" w:rsidRDefault="00A707F1" w:rsidP="00277771">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p>
    <w:p w:rsidR="00A707F1" w:rsidRDefault="00A707F1"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This ASSIGNMENT OF NOTE AND SECURITY DEED filed in DeKalb Superior Court on Feb. 18th, 2010 (Attached to Affidavit) amounts to DEFENDANTS admission that they violated OCGA 44-14-162 (b) to begin f</w:t>
      </w:r>
      <w:r w:rsidR="00846D64">
        <w:rPr>
          <w:rFonts w:ascii="Times New Roman" w:hAnsi="Times New Roman"/>
          <w:sz w:val="28"/>
          <w:szCs w:val="28"/>
        </w:rPr>
        <w:t xml:space="preserve">oreclosure of SUBJECT PROPERTY without being the actual holders in due  course. </w:t>
      </w:r>
    </w:p>
    <w:p w:rsidR="00846D64" w:rsidRPr="009A25D9" w:rsidRDefault="00846D64"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The requirements of OCGA 44-14-162 (a-c) is not so loose so as to provide that any party can foreclose on a property, so long as it later obtained title from the true owner.</w:t>
      </w:r>
    </w:p>
    <w:p w:rsidR="00A707F1" w:rsidRPr="009A25D9" w:rsidRDefault="00A707F1" w:rsidP="00A707F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 xml:space="preserve">In U.S. </w:t>
      </w:r>
      <w:r w:rsidR="00D725D8" w:rsidRPr="009A25D9">
        <w:rPr>
          <w:rFonts w:ascii="Times New Roman" w:hAnsi="Times New Roman"/>
          <w:sz w:val="28"/>
          <w:szCs w:val="28"/>
        </w:rPr>
        <w:t xml:space="preserve">Bank V. Ibanez – COMMONWEALTH OF MASSACHUSETTS, October 14, 2009, </w:t>
      </w:r>
      <w:r w:rsidRPr="009A25D9">
        <w:rPr>
          <w:rFonts w:ascii="Times New Roman" w:hAnsi="Times New Roman"/>
          <w:sz w:val="28"/>
          <w:szCs w:val="28"/>
        </w:rPr>
        <w:t xml:space="preserve">Judge J. Long </w:t>
      </w:r>
      <w:r w:rsidR="0075063D" w:rsidRPr="009A25D9">
        <w:rPr>
          <w:rFonts w:ascii="Times New Roman" w:hAnsi="Times New Roman"/>
          <w:sz w:val="28"/>
          <w:szCs w:val="28"/>
        </w:rPr>
        <w:t>d</w:t>
      </w:r>
      <w:r w:rsidRPr="009A25D9">
        <w:rPr>
          <w:rFonts w:ascii="Times New Roman" w:hAnsi="Times New Roman"/>
          <w:sz w:val="28"/>
          <w:szCs w:val="28"/>
        </w:rPr>
        <w:t xml:space="preserve">enied </w:t>
      </w:r>
      <w:r w:rsidR="00846D64">
        <w:rPr>
          <w:rFonts w:ascii="Times New Roman" w:hAnsi="Times New Roman"/>
          <w:sz w:val="28"/>
          <w:szCs w:val="28"/>
        </w:rPr>
        <w:t>l</w:t>
      </w:r>
      <w:r w:rsidRPr="009A25D9">
        <w:rPr>
          <w:rFonts w:ascii="Times New Roman" w:hAnsi="Times New Roman"/>
          <w:sz w:val="28"/>
          <w:szCs w:val="28"/>
        </w:rPr>
        <w:t>enders attempt to foreclose based on assignments after the fact.</w:t>
      </w:r>
    </w:p>
    <w:p w:rsidR="00A707F1" w:rsidRPr="009A25D9" w:rsidRDefault="00A707F1" w:rsidP="00DF14A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566" w:right="-576"/>
        <w:rPr>
          <w:rFonts w:ascii="Times New Roman" w:hAnsi="Times New Roman"/>
          <w:sz w:val="28"/>
          <w:szCs w:val="28"/>
        </w:rPr>
      </w:pPr>
      <w:r w:rsidRPr="009A25D9">
        <w:rPr>
          <w:rFonts w:ascii="Times New Roman" w:hAnsi="Times New Roman"/>
          <w:sz w:val="28"/>
          <w:szCs w:val="28"/>
        </w:rPr>
        <w:t xml:space="preserve">“The issues in this case are not merely problems with paperwork or a matter of dotting i’s and crossing t’s. Instead, they lie at the heart of the protections given to homeowners and borrowers by the Massachusetts legislature. To accept the plaintiffs’ arguments is to allow them to take </w:t>
      </w:r>
      <w:r w:rsidRPr="009A25D9">
        <w:rPr>
          <w:rFonts w:ascii="Times New Roman" w:hAnsi="Times New Roman"/>
          <w:sz w:val="28"/>
          <w:szCs w:val="28"/>
        </w:rPr>
        <w:lastRenderedPageBreak/>
        <w:t xml:space="preserve">someone’s home without any demonstrable right to do so, based upon the assumption that they ultimately will be able to show that they have that right and the further assumption that potential bidders will be undeterred by the lack of a demonstrable legal foundation for the sale and will nonetheless bid full value in the expectation that that foundation will ultimately be produced, even if it takes a year or more. The law recognizes the troubling nature of these assumptions, the harm caused if those assumptions prove erroneous, and commands otherwise.  </w:t>
      </w:r>
    </w:p>
    <w:p w:rsidR="00A707F1" w:rsidRPr="009A25D9" w:rsidRDefault="00A707F1" w:rsidP="00DF14A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r w:rsidRPr="009A25D9">
        <w:rPr>
          <w:rFonts w:ascii="Times New Roman" w:hAnsi="Times New Roman"/>
          <w:sz w:val="28"/>
          <w:szCs w:val="28"/>
        </w:rPr>
        <w:t xml:space="preserve">For the foregoing reasons, the plaintiffs’ motions to vacate the Judgment in these cases are DENIED. </w:t>
      </w:r>
      <w:r w:rsidR="00DF14A0" w:rsidRPr="009A25D9">
        <w:rPr>
          <w:rFonts w:ascii="Times New Roman" w:hAnsi="Times New Roman"/>
          <w:sz w:val="28"/>
          <w:szCs w:val="28"/>
        </w:rPr>
        <w:br/>
      </w:r>
      <w:r w:rsidRPr="009A25D9">
        <w:rPr>
          <w:rFonts w:ascii="Times New Roman" w:hAnsi="Times New Roman"/>
          <w:sz w:val="28"/>
          <w:szCs w:val="28"/>
        </w:rPr>
        <w:t xml:space="preserve">SO ORDERED.   </w:t>
      </w:r>
      <w:r w:rsidR="00DF14A0" w:rsidRPr="009A25D9">
        <w:rPr>
          <w:rFonts w:ascii="Times New Roman" w:hAnsi="Times New Roman"/>
          <w:sz w:val="28"/>
          <w:szCs w:val="28"/>
        </w:rPr>
        <w:br/>
      </w:r>
      <w:r w:rsidRPr="009A25D9">
        <w:rPr>
          <w:rFonts w:ascii="Times New Roman" w:hAnsi="Times New Roman"/>
          <w:sz w:val="28"/>
          <w:szCs w:val="28"/>
        </w:rPr>
        <w:t>By the court (Long, J.)</w:t>
      </w:r>
    </w:p>
    <w:p w:rsidR="00A707F1" w:rsidRPr="009A25D9" w:rsidRDefault="00A707F1" w:rsidP="00DF14A0">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p>
    <w:p w:rsidR="00846D64" w:rsidRDefault="00846D64" w:rsidP="00846D64">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This </w:t>
      </w:r>
      <w:r w:rsidRPr="009A25D9">
        <w:rPr>
          <w:rFonts w:ascii="Times New Roman" w:hAnsi="Times New Roman"/>
          <w:sz w:val="28"/>
          <w:szCs w:val="28"/>
        </w:rPr>
        <w:t>ASSIGNMENT OF NOTE AND SECURITY DEED</w:t>
      </w:r>
      <w:r>
        <w:rPr>
          <w:rFonts w:ascii="Times New Roman" w:hAnsi="Times New Roman"/>
          <w:sz w:val="28"/>
          <w:szCs w:val="28"/>
        </w:rPr>
        <w:t xml:space="preserve"> document </w:t>
      </w:r>
      <w:r w:rsidRPr="009A25D9">
        <w:rPr>
          <w:rFonts w:ascii="Times New Roman" w:hAnsi="Times New Roman"/>
          <w:sz w:val="28"/>
          <w:szCs w:val="28"/>
        </w:rPr>
        <w:t xml:space="preserve">also calls into question whether they </w:t>
      </w:r>
      <w:r w:rsidR="00A42EA3">
        <w:rPr>
          <w:rFonts w:ascii="Times New Roman" w:hAnsi="Times New Roman"/>
          <w:sz w:val="28"/>
          <w:szCs w:val="28"/>
        </w:rPr>
        <w:t xml:space="preserve">have </w:t>
      </w:r>
      <w:r w:rsidRPr="009A25D9">
        <w:rPr>
          <w:rFonts w:ascii="Times New Roman" w:hAnsi="Times New Roman"/>
          <w:sz w:val="28"/>
          <w:szCs w:val="28"/>
        </w:rPr>
        <w:t xml:space="preserve">had </w:t>
      </w:r>
      <w:r w:rsidR="00A42EA3">
        <w:rPr>
          <w:rFonts w:ascii="Times New Roman" w:hAnsi="Times New Roman"/>
          <w:sz w:val="28"/>
          <w:szCs w:val="28"/>
        </w:rPr>
        <w:t xml:space="preserve">any </w:t>
      </w:r>
      <w:r w:rsidRPr="009A25D9">
        <w:rPr>
          <w:rFonts w:ascii="Times New Roman" w:hAnsi="Times New Roman"/>
          <w:sz w:val="28"/>
          <w:szCs w:val="28"/>
        </w:rPr>
        <w:t>right to collect monthly paym</w:t>
      </w:r>
      <w:r>
        <w:rPr>
          <w:rFonts w:ascii="Times New Roman" w:hAnsi="Times New Roman"/>
          <w:sz w:val="28"/>
          <w:szCs w:val="28"/>
        </w:rPr>
        <w:t>ents from Plaintiff at any time and points to conduct by the DEFENDANTS already admonished by the Courts.  Afiya Madzimoyo’s attached Affidavit reveals:</w:t>
      </w:r>
    </w:p>
    <w:p w:rsidR="00846D64" w:rsidRPr="00846D64" w:rsidRDefault="00846D64" w:rsidP="00846D64">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846D64">
        <w:rPr>
          <w:rFonts w:ascii="Times New Roman" w:hAnsi="Times New Roman"/>
          <w:sz w:val="28"/>
          <w:szCs w:val="28"/>
        </w:rPr>
        <w:t xml:space="preserve">When I looked closely at the Feb 8, 2020 ASSIGNMENT OF NOTE AND SECURITY DEED to determine who executed the documents, I saw what amounted to scribble marks to represent the signature of the “Limited </w:t>
      </w:r>
      <w:r w:rsidRPr="00846D64">
        <w:rPr>
          <w:rFonts w:ascii="Times New Roman" w:hAnsi="Times New Roman"/>
          <w:sz w:val="28"/>
          <w:szCs w:val="28"/>
        </w:rPr>
        <w:lastRenderedPageBreak/>
        <w:t>Signing Officer,” Jeffrey Stephan. The name seemed familiar. It was – he has been identified as a key “robo-signer.” Little did I know how much and for how many companies did Mr. Stephan assume “signing,” review, and vice presidential duties.” They include: GMAC, MERS, JP Moran Chase, Bank of America, and now The Bank of NY Mellon Trust Company, National Association fka The Bank of New York Trust Company, NA as successor to JPMorgan Chase Bank, N.A. as Trustee s/b/m to Bank One, NA.</w:t>
      </w:r>
    </w:p>
    <w:p w:rsidR="00846D64" w:rsidRPr="00846D64" w:rsidRDefault="00846D64" w:rsidP="00846D64">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158" w:right="-576"/>
        <w:rPr>
          <w:rFonts w:ascii="Times New Roman" w:hAnsi="Times New Roman"/>
          <w:sz w:val="28"/>
          <w:szCs w:val="28"/>
        </w:rPr>
      </w:pPr>
    </w:p>
    <w:p w:rsidR="00846D64" w:rsidRPr="00846D64" w:rsidRDefault="00846D64" w:rsidP="00095F38">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846D64">
        <w:rPr>
          <w:rFonts w:ascii="Times New Roman" w:hAnsi="Times New Roman"/>
          <w:sz w:val="28"/>
          <w:szCs w:val="28"/>
        </w:rPr>
        <w:t xml:space="preserve">His depositions prove that Wekesa was correct in asking for debt verification in March of 2009. He testifies under oath that he signs between 400-1000 per day. When asked if he actually reviewed or verified those documents he said: “no”; adding that he just signs them. And though the Assignment file on our property has a notary stamp, Mr. Stephan has testified via deposition that he routinely signs this without a notary present. </w:t>
      </w:r>
    </w:p>
    <w:p w:rsidR="00846D64" w:rsidRPr="00846D64" w:rsidRDefault="00846D64" w:rsidP="00846D64">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158" w:right="-576"/>
        <w:rPr>
          <w:rFonts w:ascii="Times New Roman" w:hAnsi="Times New Roman"/>
          <w:sz w:val="28"/>
          <w:szCs w:val="28"/>
        </w:rPr>
      </w:pPr>
    </w:p>
    <w:p w:rsidR="00846D64" w:rsidRDefault="00095F38" w:rsidP="00095F38">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 </w:t>
      </w:r>
      <w:r w:rsidR="00A42EA3">
        <w:rPr>
          <w:rFonts w:ascii="Times New Roman" w:hAnsi="Times New Roman"/>
          <w:sz w:val="28"/>
          <w:szCs w:val="28"/>
        </w:rPr>
        <w:t xml:space="preserve">This is no isolated incident. </w:t>
      </w:r>
      <w:r w:rsidR="00846D64" w:rsidRPr="00846D64">
        <w:rPr>
          <w:rFonts w:ascii="Times New Roman" w:hAnsi="Times New Roman"/>
          <w:sz w:val="28"/>
          <w:szCs w:val="28"/>
        </w:rPr>
        <w:t>Three months ago, (9/24/2010) Hon. Judge Kenneth A. Powers, Main District Court in Federal National Mortgage Assoc. vs. Nicolle Bradbury, refers to those depositions and admonished DEFENDANT GMAC, saying:</w:t>
      </w:r>
    </w:p>
    <w:p w:rsidR="00936584" w:rsidRPr="00936584" w:rsidRDefault="001A7621" w:rsidP="00936584">
      <w:pPr>
        <w:pStyle w:val="ListParagraph"/>
        <w:numPr>
          <w:ilvl w:val="1"/>
          <w:numId w:val="23"/>
        </w:numPr>
        <w:spacing w:after="0" w:line="480" w:lineRule="auto"/>
        <w:rPr>
          <w:rFonts w:ascii="Times New Roman" w:eastAsia="Times New Roman" w:hAnsi="Times New Roman"/>
          <w:sz w:val="28"/>
          <w:szCs w:val="28"/>
        </w:rPr>
      </w:pPr>
      <w:r>
        <w:rPr>
          <w:rFonts w:ascii="Times New Roman" w:eastAsia="Times New Roman" w:hAnsi="Times New Roman"/>
          <w:sz w:val="28"/>
          <w:szCs w:val="28"/>
        </w:rPr>
        <w:lastRenderedPageBreak/>
        <w:t>“</w:t>
      </w:r>
      <w:r w:rsidR="00936584" w:rsidRPr="00936584">
        <w:rPr>
          <w:rFonts w:ascii="Times New Roman" w:eastAsia="Times New Roman" w:hAnsi="Times New Roman"/>
          <w:sz w:val="28"/>
          <w:szCs w:val="28"/>
        </w:rPr>
        <w:t>The facts underlying Defendant’s motion are for the most part undisputed.  Plaintiff does not dispute that its affiant, Jeffery Stephan, in his role as limited signing officer for GMAC, Plaintiff’s servicing agent, signed the affidavit which Plaintiff submitted in support of its Motion for Summary Judgment without even reading it and without signing in the presence of a notary.  These facts came into the record because the Defendant went to the time and expense of traveling to Pennsylvania to take Stephan’s deposition.  In that deposition, which took place on June 7, 2010, Stephan testified that he signs some 400 documents per day, and that the process he follows in signing summary judgment affidavits is consistent with GMAC’s policies and procedures.</w:t>
      </w:r>
      <w:r>
        <w:rPr>
          <w:rFonts w:ascii="Times New Roman" w:eastAsia="Times New Roman" w:hAnsi="Times New Roman"/>
          <w:sz w:val="28"/>
          <w:szCs w:val="28"/>
        </w:rPr>
        <w:t>”</w:t>
      </w:r>
    </w:p>
    <w:p w:rsidR="00936584" w:rsidRDefault="00936584" w:rsidP="00936584">
      <w:pPr>
        <w:pStyle w:val="ListParagraph"/>
        <w:spacing w:after="0" w:line="480" w:lineRule="auto"/>
        <w:ind w:left="3240"/>
        <w:rPr>
          <w:rFonts w:ascii="Times New Roman" w:eastAsia="Times New Roman" w:hAnsi="Times New Roman"/>
          <w:sz w:val="28"/>
          <w:szCs w:val="28"/>
        </w:rPr>
      </w:pPr>
    </w:p>
    <w:p w:rsidR="00936584" w:rsidRDefault="001A7621" w:rsidP="00936584">
      <w:pPr>
        <w:pStyle w:val="ListParagraph"/>
        <w:numPr>
          <w:ilvl w:val="1"/>
          <w:numId w:val="23"/>
        </w:numPr>
        <w:spacing w:after="0" w:line="480" w:lineRule="auto"/>
        <w:rPr>
          <w:rFonts w:ascii="Times New Roman" w:eastAsia="Times New Roman" w:hAnsi="Times New Roman"/>
          <w:sz w:val="28"/>
          <w:szCs w:val="28"/>
        </w:rPr>
      </w:pPr>
      <w:r>
        <w:rPr>
          <w:rFonts w:ascii="Times New Roman" w:eastAsia="Times New Roman" w:hAnsi="Times New Roman"/>
          <w:sz w:val="28"/>
          <w:szCs w:val="28"/>
        </w:rPr>
        <w:t>“</w:t>
      </w:r>
      <w:r w:rsidR="00936584" w:rsidRPr="00936584">
        <w:rPr>
          <w:rFonts w:ascii="Times New Roman" w:eastAsia="Times New Roman" w:hAnsi="Times New Roman"/>
          <w:sz w:val="28"/>
          <w:szCs w:val="28"/>
        </w:rPr>
        <w:t xml:space="preserve">The Court is particularly troubled by the fact that Stephan’s deposition in this case is not the first time that GMAC’s high-volume and careless approach to affidavit signing has been exposed.  Stephan himself was deposed six months earlier, on December 10, 2009, in Florida.  His Florida testimony is consistent with the testimony given in this case:  except for some limited checking of figures, he signs summary judgment affidavits without first reading them and without </w:t>
      </w:r>
      <w:r w:rsidR="00936584" w:rsidRPr="00936584">
        <w:rPr>
          <w:rFonts w:ascii="Times New Roman" w:eastAsia="Times New Roman" w:hAnsi="Times New Roman"/>
          <w:sz w:val="28"/>
          <w:szCs w:val="28"/>
        </w:rPr>
        <w:lastRenderedPageBreak/>
        <w:t>appearing before a notary.  Even more troubling, in addition to that Florida action, in May, 2006, another Florida court not only admonished GMAC, it sanctioned the Plaintiff lender for GMAC’s affidavit signing practices.  As part of its order, the Florida court required GMAC to file a Notice of Compliance, indicating its commitment to modify its affidavit signing procedures to conform to proper practices.  The experience of this case reveals that, despite the Florida Court’s order, GMAC’s flagrant disregard apparently persists.</w:t>
      </w:r>
      <w:r>
        <w:rPr>
          <w:rFonts w:ascii="Times New Roman" w:eastAsia="Times New Roman" w:hAnsi="Times New Roman"/>
          <w:sz w:val="28"/>
          <w:szCs w:val="28"/>
        </w:rPr>
        <w:t>”</w:t>
      </w:r>
      <w:r w:rsidR="00936584" w:rsidRPr="00936584">
        <w:rPr>
          <w:rFonts w:ascii="Times New Roman" w:eastAsia="Times New Roman" w:hAnsi="Times New Roman"/>
          <w:sz w:val="28"/>
          <w:szCs w:val="28"/>
        </w:rPr>
        <w:t xml:space="preserve">  </w:t>
      </w:r>
      <w:r w:rsidR="00936584">
        <w:rPr>
          <w:rFonts w:ascii="Times New Roman" w:eastAsia="Times New Roman" w:hAnsi="Times New Roman"/>
          <w:sz w:val="28"/>
          <w:szCs w:val="28"/>
        </w:rPr>
        <w:t xml:space="preserve"> </w:t>
      </w:r>
    </w:p>
    <w:p w:rsidR="00936584" w:rsidRPr="00936584" w:rsidRDefault="00936584" w:rsidP="00936584">
      <w:pPr>
        <w:pStyle w:val="ListParagraph"/>
        <w:spacing w:line="480" w:lineRule="auto"/>
        <w:rPr>
          <w:rFonts w:ascii="Times New Roman" w:eastAsia="Times New Roman" w:hAnsi="Times New Roman"/>
          <w:sz w:val="28"/>
          <w:szCs w:val="28"/>
        </w:rPr>
      </w:pPr>
    </w:p>
    <w:p w:rsidR="00936584" w:rsidRPr="00936584" w:rsidRDefault="001A7621" w:rsidP="00936584">
      <w:pPr>
        <w:pStyle w:val="ListParagraph"/>
        <w:numPr>
          <w:ilvl w:val="1"/>
          <w:numId w:val="23"/>
        </w:numPr>
        <w:spacing w:after="0" w:line="480" w:lineRule="auto"/>
        <w:rPr>
          <w:rFonts w:ascii="Times New Roman" w:eastAsia="Times New Roman" w:hAnsi="Times New Roman"/>
          <w:sz w:val="28"/>
          <w:szCs w:val="28"/>
        </w:rPr>
      </w:pPr>
      <w:r>
        <w:rPr>
          <w:rFonts w:ascii="Times New Roman" w:eastAsia="Times New Roman" w:hAnsi="Times New Roman"/>
          <w:sz w:val="28"/>
          <w:szCs w:val="28"/>
        </w:rPr>
        <w:t>“</w:t>
      </w:r>
      <w:r w:rsidR="00936584" w:rsidRPr="00936584">
        <w:rPr>
          <w:rFonts w:ascii="Times New Roman" w:eastAsia="Times New Roman" w:hAnsi="Times New Roman"/>
          <w:sz w:val="28"/>
          <w:szCs w:val="28"/>
        </w:rPr>
        <w:t>It is well past the time for such practices to end.</w:t>
      </w:r>
      <w:r>
        <w:rPr>
          <w:rFonts w:ascii="Times New Roman" w:eastAsia="Times New Roman" w:hAnsi="Times New Roman"/>
          <w:sz w:val="28"/>
          <w:szCs w:val="28"/>
        </w:rPr>
        <w:t>”</w:t>
      </w:r>
    </w:p>
    <w:p w:rsidR="00095F38" w:rsidRPr="00804879" w:rsidRDefault="00095F38" w:rsidP="00095F38">
      <w:pPr>
        <w:pStyle w:val="ListParagraph"/>
        <w:spacing w:after="0" w:line="240" w:lineRule="auto"/>
        <w:rPr>
          <w:rFonts w:ascii="Times New Roman" w:eastAsia="Times New Roman" w:hAnsi="Times New Roman"/>
          <w:sz w:val="24"/>
          <w:szCs w:val="24"/>
        </w:rPr>
      </w:pPr>
    </w:p>
    <w:p w:rsidR="00095F38" w:rsidRPr="00095F38" w:rsidRDefault="00095F38" w:rsidP="00095F38">
      <w:pPr>
        <w:pStyle w:val="ListParagraph"/>
        <w:numPr>
          <w:ilvl w:val="0"/>
          <w:numId w:val="23"/>
        </w:numPr>
        <w:spacing w:after="0" w:line="240" w:lineRule="auto"/>
        <w:rPr>
          <w:rFonts w:ascii="Times New Roman" w:eastAsia="Times New Roman" w:hAnsi="Times New Roman"/>
          <w:sz w:val="28"/>
          <w:szCs w:val="24"/>
        </w:rPr>
      </w:pPr>
      <w:r>
        <w:rPr>
          <w:rFonts w:ascii="Times New Roman" w:eastAsia="Times New Roman" w:hAnsi="Times New Roman"/>
          <w:sz w:val="28"/>
          <w:szCs w:val="24"/>
        </w:rPr>
        <w:t xml:space="preserve"> </w:t>
      </w:r>
      <w:r w:rsidRPr="00095F38">
        <w:rPr>
          <w:rFonts w:ascii="Times New Roman" w:eastAsia="Times New Roman" w:hAnsi="Times New Roman"/>
          <w:sz w:val="28"/>
          <w:szCs w:val="24"/>
        </w:rPr>
        <w:t>Jude Powers also rules that DEFENDANT GMAC acted in “bad faith:”</w:t>
      </w:r>
    </w:p>
    <w:p w:rsidR="00936584" w:rsidRPr="00EF54B1" w:rsidRDefault="00936584" w:rsidP="00EF54B1">
      <w:pPr>
        <w:spacing w:after="0" w:line="480" w:lineRule="auto"/>
        <w:rPr>
          <w:rFonts w:ascii="Times New Roman" w:eastAsia="Times New Roman" w:hAnsi="Times New Roman"/>
          <w:sz w:val="28"/>
          <w:szCs w:val="24"/>
        </w:rPr>
      </w:pPr>
    </w:p>
    <w:p w:rsidR="00936584" w:rsidRPr="00EF54B1" w:rsidRDefault="001A7621" w:rsidP="00EF54B1">
      <w:pPr>
        <w:pStyle w:val="ListParagraph"/>
        <w:numPr>
          <w:ilvl w:val="1"/>
          <w:numId w:val="23"/>
        </w:numPr>
        <w:spacing w:after="0" w:line="480" w:lineRule="auto"/>
        <w:rPr>
          <w:rFonts w:ascii="Times New Roman" w:eastAsia="Times New Roman" w:hAnsi="Times New Roman"/>
          <w:sz w:val="28"/>
          <w:szCs w:val="24"/>
        </w:rPr>
      </w:pPr>
      <w:r>
        <w:rPr>
          <w:rFonts w:ascii="Times New Roman" w:eastAsia="Times New Roman" w:hAnsi="Times New Roman"/>
          <w:sz w:val="28"/>
          <w:szCs w:val="24"/>
        </w:rPr>
        <w:t>“</w:t>
      </w:r>
      <w:r w:rsidR="00936584" w:rsidRPr="00EF54B1">
        <w:rPr>
          <w:rFonts w:ascii="Times New Roman" w:eastAsia="Times New Roman" w:hAnsi="Times New Roman"/>
          <w:sz w:val="28"/>
          <w:szCs w:val="24"/>
        </w:rPr>
        <w:t xml:space="preserve">The Court agrees with Defendant, and finds to its satisfaction that the Stephan affidavit was submitted in bad faith.  Rather than being an isolated or inadvertent instance of misconduct, the Court finds that GMAC has persisted in its unlawful document signing practices long after and even in the face of the Florida Court’s order, and that such conduct constitutes “bad faith” under Rule 56(g).  These documents are submitted to a court with the intent that the court find a </w:t>
      </w:r>
      <w:r w:rsidR="00936584" w:rsidRPr="00EF54B1">
        <w:rPr>
          <w:rFonts w:ascii="Times New Roman" w:eastAsia="Times New Roman" w:hAnsi="Times New Roman"/>
          <w:sz w:val="28"/>
          <w:szCs w:val="24"/>
        </w:rPr>
        <w:lastRenderedPageBreak/>
        <w:t>homeowner liable to the Plaintiff for thousands of dollars and subject to foreclosure on the debtor’s residence.  Filing such a document without significant regard for its accuracy, which the court in ordinary circumstances may never be able to investigate or otherwise verify, is a serious and troubling matter.  Accordingly, the Court orders Plaintiff to compensate Defendant’s counsel for his attorney’s fees and costs “which the filing of the Affidavit caused (him) to incur” – in other words, that Plaintiff pay Defendant’s counsel for his time and expenses in preparing for and taking Stephan’s deposition, as well as for his time and expenses in preparing for, filing and prosecuting</w:t>
      </w:r>
      <w:r>
        <w:rPr>
          <w:rFonts w:ascii="Times New Roman" w:eastAsia="Times New Roman" w:hAnsi="Times New Roman"/>
          <w:sz w:val="28"/>
          <w:szCs w:val="24"/>
        </w:rPr>
        <w:t xml:space="preserve"> Defendant’s Rule 56(g) motion.”</w:t>
      </w:r>
    </w:p>
    <w:p w:rsidR="00936584" w:rsidRPr="00EF54B1" w:rsidRDefault="00936584" w:rsidP="00EF54B1">
      <w:pPr>
        <w:pStyle w:val="ListParagraph"/>
        <w:spacing w:after="0" w:line="480" w:lineRule="auto"/>
        <w:ind w:left="1440"/>
        <w:rPr>
          <w:rFonts w:ascii="Times New Roman" w:eastAsia="Times New Roman" w:hAnsi="Times New Roman"/>
          <w:sz w:val="28"/>
          <w:szCs w:val="24"/>
        </w:rPr>
      </w:pPr>
      <w:r w:rsidRPr="00EF54B1">
        <w:rPr>
          <w:rFonts w:ascii="Times New Roman" w:eastAsia="Times New Roman" w:hAnsi="Times New Roman"/>
          <w:sz w:val="28"/>
          <w:szCs w:val="24"/>
        </w:rPr>
        <w:t xml:space="preserve">    </w:t>
      </w:r>
    </w:p>
    <w:p w:rsidR="00936584" w:rsidRPr="00EF54B1" w:rsidRDefault="00936584" w:rsidP="00EF54B1">
      <w:pPr>
        <w:pStyle w:val="ListParagraph"/>
        <w:numPr>
          <w:ilvl w:val="0"/>
          <w:numId w:val="23"/>
        </w:numPr>
        <w:spacing w:after="0" w:line="480" w:lineRule="auto"/>
        <w:rPr>
          <w:rFonts w:ascii="Times New Roman" w:eastAsia="Times New Roman" w:hAnsi="Times New Roman"/>
          <w:sz w:val="28"/>
          <w:szCs w:val="24"/>
        </w:rPr>
      </w:pPr>
      <w:r w:rsidRPr="00EF54B1">
        <w:rPr>
          <w:rFonts w:ascii="Times New Roman" w:eastAsia="Times New Roman" w:hAnsi="Times New Roman"/>
          <w:sz w:val="28"/>
          <w:szCs w:val="24"/>
        </w:rPr>
        <w:t xml:space="preserve"> The State of Ohio is suing Mr. Stephan asserting:</w:t>
      </w:r>
    </w:p>
    <w:p w:rsidR="00936584" w:rsidRPr="00EF54B1" w:rsidRDefault="00936584" w:rsidP="00EF54B1">
      <w:pPr>
        <w:pStyle w:val="ListParagraph"/>
        <w:numPr>
          <w:ilvl w:val="1"/>
          <w:numId w:val="23"/>
        </w:numPr>
        <w:spacing w:after="0" w:line="480" w:lineRule="auto"/>
        <w:rPr>
          <w:rFonts w:ascii="Times New Roman" w:eastAsia="Times New Roman" w:hAnsi="Times New Roman"/>
          <w:sz w:val="28"/>
          <w:szCs w:val="24"/>
        </w:rPr>
      </w:pPr>
      <w:r w:rsidRPr="00EF54B1">
        <w:rPr>
          <w:rFonts w:ascii="Times New Roman" w:eastAsia="Times New Roman" w:hAnsi="Times New Roman"/>
          <w:sz w:val="28"/>
          <w:szCs w:val="24"/>
        </w:rPr>
        <w:t xml:space="preserve"> Plaintiff, State of Ohio, by and through counsel, Ohio Attorney General Richard Cordray (the “Ohio Attorney General”), has reasonable cause to believe Defendants GMAC Mortgage LLC (“GMAC Mortgage”), Ally Financial Inc (“Ally) and Jeffrey Stephan (“Stephan”) (GMAC Mortgage, Ally and Stephan collectively the “Defendants”) have committed frauds and unfair, deceptive and unconscionable acts and practices on Ohio consumers and the courts </w:t>
      </w:r>
      <w:r w:rsidRPr="00EF54B1">
        <w:rPr>
          <w:rFonts w:ascii="Times New Roman" w:eastAsia="Times New Roman" w:hAnsi="Times New Roman"/>
          <w:sz w:val="28"/>
          <w:szCs w:val="24"/>
        </w:rPr>
        <w:lastRenderedPageBreak/>
        <w:t>of Ohio through, among other ways, the signing of and causing the filing in Ohio courts of hundreds of false affidavits and assignments of notes.  GMAC Mortgage has been the plaintiff and/or services in hundreds of Ohio mortgage foreclosure cases in at least the last two years and in those cases used false affidavits, assignments and other documents to increase its profits at the expense of Ohio consumers and Ohio’s system of justice.</w:t>
      </w:r>
    </w:p>
    <w:p w:rsidR="00936584" w:rsidRPr="00EF54B1" w:rsidRDefault="00936584" w:rsidP="00EF54B1">
      <w:pPr>
        <w:pStyle w:val="ListParagraph"/>
        <w:spacing w:after="0" w:line="480" w:lineRule="auto"/>
        <w:ind w:left="1440"/>
        <w:rPr>
          <w:rFonts w:ascii="Times New Roman" w:eastAsia="Times New Roman" w:hAnsi="Times New Roman"/>
          <w:sz w:val="28"/>
          <w:szCs w:val="24"/>
        </w:rPr>
      </w:pPr>
    </w:p>
    <w:p w:rsidR="00936584" w:rsidRPr="00EF54B1" w:rsidRDefault="00EF54B1" w:rsidP="00EF54B1">
      <w:pPr>
        <w:pStyle w:val="ListParagraph"/>
        <w:numPr>
          <w:ilvl w:val="0"/>
          <w:numId w:val="23"/>
        </w:numPr>
        <w:spacing w:after="0" w:line="480" w:lineRule="auto"/>
        <w:rPr>
          <w:rFonts w:ascii="Times New Roman" w:eastAsia="Times New Roman" w:hAnsi="Times New Roman"/>
          <w:sz w:val="28"/>
          <w:szCs w:val="24"/>
        </w:rPr>
      </w:pPr>
      <w:r w:rsidRPr="00EF54B1">
        <w:rPr>
          <w:rFonts w:ascii="Times New Roman" w:eastAsia="Times New Roman" w:hAnsi="Times New Roman"/>
          <w:sz w:val="28"/>
          <w:szCs w:val="24"/>
        </w:rPr>
        <w:t xml:space="preserve"> </w:t>
      </w:r>
      <w:r w:rsidR="00936584" w:rsidRPr="00EF54B1">
        <w:rPr>
          <w:rFonts w:ascii="Times New Roman" w:eastAsia="Times New Roman" w:hAnsi="Times New Roman"/>
          <w:sz w:val="28"/>
          <w:szCs w:val="24"/>
        </w:rPr>
        <w:t xml:space="preserve">Attorney General Corday further states: </w:t>
      </w:r>
    </w:p>
    <w:p w:rsidR="00936584" w:rsidRPr="00EF54B1" w:rsidRDefault="00936584" w:rsidP="00EF54B1">
      <w:pPr>
        <w:pStyle w:val="ListParagraph"/>
        <w:spacing w:after="0" w:line="480" w:lineRule="auto"/>
        <w:ind w:left="1440"/>
        <w:rPr>
          <w:rFonts w:ascii="Times New Roman" w:eastAsia="Times New Roman" w:hAnsi="Times New Roman"/>
          <w:sz w:val="28"/>
          <w:szCs w:val="24"/>
        </w:rPr>
      </w:pPr>
    </w:p>
    <w:p w:rsidR="00936584" w:rsidRPr="00EF54B1" w:rsidRDefault="00936584" w:rsidP="00EF54B1">
      <w:pPr>
        <w:pStyle w:val="ListParagraph"/>
        <w:numPr>
          <w:ilvl w:val="1"/>
          <w:numId w:val="23"/>
        </w:numPr>
        <w:spacing w:after="0" w:line="480" w:lineRule="auto"/>
        <w:rPr>
          <w:rFonts w:ascii="Times New Roman" w:eastAsia="Times New Roman" w:hAnsi="Times New Roman"/>
          <w:sz w:val="28"/>
          <w:szCs w:val="24"/>
        </w:rPr>
      </w:pPr>
      <w:r w:rsidRPr="00EF54B1">
        <w:rPr>
          <w:rFonts w:ascii="Times New Roman" w:eastAsia="Times New Roman" w:hAnsi="Times New Roman"/>
          <w:sz w:val="28"/>
          <w:szCs w:val="24"/>
        </w:rPr>
        <w:t xml:space="preserve">“The actions by lenders that I am talking about today show gross disregard for the integrity of this legal process and for the private property rights of homeowners. </w:t>
      </w:r>
    </w:p>
    <w:p w:rsidR="00936584" w:rsidRPr="00EF54B1" w:rsidRDefault="00936584" w:rsidP="00EF54B1">
      <w:pPr>
        <w:pStyle w:val="ListParagraph"/>
        <w:spacing w:after="0" w:line="480" w:lineRule="auto"/>
        <w:ind w:left="1440"/>
        <w:rPr>
          <w:rFonts w:ascii="Times New Roman" w:eastAsia="Times New Roman" w:hAnsi="Times New Roman"/>
          <w:sz w:val="28"/>
          <w:szCs w:val="24"/>
        </w:rPr>
      </w:pPr>
    </w:p>
    <w:p w:rsidR="00095F38" w:rsidRPr="00EF54B1" w:rsidRDefault="00936584" w:rsidP="00EF54B1">
      <w:pPr>
        <w:pStyle w:val="ListParagraph"/>
        <w:numPr>
          <w:ilvl w:val="1"/>
          <w:numId w:val="23"/>
        </w:numPr>
        <w:spacing w:after="0" w:line="480" w:lineRule="auto"/>
        <w:rPr>
          <w:rFonts w:ascii="Times New Roman" w:eastAsia="Times New Roman" w:hAnsi="Times New Roman"/>
          <w:sz w:val="28"/>
          <w:szCs w:val="24"/>
        </w:rPr>
      </w:pPr>
      <w:r w:rsidRPr="00EF54B1">
        <w:rPr>
          <w:rFonts w:ascii="Times New Roman" w:eastAsia="Times New Roman" w:hAnsi="Times New Roman"/>
          <w:sz w:val="28"/>
          <w:szCs w:val="24"/>
        </w:rPr>
        <w:t>We are talking about lenders and servicers treating foreclosure not as a legal proceeding that deserves the careful attention of the property owner, the servicer of the mortgage and the courts, but rather as a production line making widgets, that accords foreclosures little deliberate accuracy that the law – or for, that matter, basic courtesy and common sense – mandates be given to such serious matters.”</w:t>
      </w:r>
    </w:p>
    <w:p w:rsidR="00EF54B1" w:rsidRPr="00EF54B1" w:rsidRDefault="00EF54B1" w:rsidP="00EF54B1">
      <w:pPr>
        <w:pStyle w:val="ListParagraph"/>
        <w:rPr>
          <w:rFonts w:ascii="Times New Roman" w:eastAsia="Times New Roman" w:hAnsi="Times New Roman"/>
          <w:sz w:val="24"/>
          <w:szCs w:val="24"/>
        </w:rPr>
      </w:pPr>
    </w:p>
    <w:p w:rsidR="00EF54B1" w:rsidRDefault="00EF54B1" w:rsidP="00EF54B1">
      <w:pPr>
        <w:pStyle w:val="ListParagraph"/>
        <w:spacing w:after="0" w:line="240" w:lineRule="auto"/>
        <w:ind w:left="1440"/>
        <w:rPr>
          <w:rFonts w:ascii="Times New Roman" w:eastAsia="Times New Roman" w:hAnsi="Times New Roman"/>
          <w:sz w:val="24"/>
          <w:szCs w:val="24"/>
        </w:rPr>
      </w:pPr>
    </w:p>
    <w:p w:rsidR="001A7621" w:rsidRPr="009A25D9" w:rsidRDefault="001A7621" w:rsidP="001A7621">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sz w:val="28"/>
          <w:szCs w:val="28"/>
        </w:rPr>
      </w:pPr>
      <w:r>
        <w:rPr>
          <w:rFonts w:ascii="Times New Roman" w:hAnsi="Times New Roman"/>
          <w:sz w:val="28"/>
          <w:szCs w:val="28"/>
        </w:rPr>
        <w:t xml:space="preserve"> </w:t>
      </w:r>
      <w:r w:rsidRPr="001A7621">
        <w:rPr>
          <w:rStyle w:val="enumbell"/>
          <w:rFonts w:ascii="Times New Roman" w:hAnsi="Times New Roman"/>
          <w:b/>
          <w:bCs/>
          <w:color w:val="000000"/>
          <w:sz w:val="28"/>
          <w:szCs w:val="28"/>
        </w:rPr>
        <w:t xml:space="preserve">Pursuant to FR 9027(i) </w:t>
      </w:r>
      <w:r w:rsidRPr="001A7621">
        <w:rPr>
          <w:rStyle w:val="ptext-1"/>
          <w:rFonts w:ascii="Times New Roman" w:hAnsi="Times New Roman"/>
          <w:color w:val="000000"/>
          <w:sz w:val="28"/>
          <w:szCs w:val="28"/>
        </w:rPr>
        <w:t>“When a claim or cause of action is removed to a District Court… the claim or cause of action prior to its removal shall remain valid and effectual notwithstanding such removal. All injunctions issued, orders entered and other proceedings had prior to removal shall remain in full force and effect until dissolved or modified by the court.”</w:t>
      </w:r>
    </w:p>
    <w:p w:rsidR="001A7621" w:rsidRDefault="001A7621" w:rsidP="001A7621">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p>
    <w:p w:rsidR="00227C4D" w:rsidRDefault="001A7621" w:rsidP="00936584">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 </w:t>
      </w:r>
      <w:r w:rsidR="00227C4D">
        <w:rPr>
          <w:rFonts w:ascii="Times New Roman" w:hAnsi="Times New Roman"/>
          <w:sz w:val="28"/>
          <w:szCs w:val="28"/>
        </w:rPr>
        <w:t xml:space="preserve">On July, 29, 2009 </w:t>
      </w:r>
      <w:r w:rsidR="00936584" w:rsidRPr="00936584">
        <w:rPr>
          <w:rFonts w:ascii="Times New Roman" w:hAnsi="Times New Roman"/>
          <w:sz w:val="28"/>
          <w:szCs w:val="28"/>
        </w:rPr>
        <w:t>Judge Barrie’s order</w:t>
      </w:r>
      <w:r w:rsidR="00227C4D">
        <w:rPr>
          <w:rFonts w:ascii="Times New Roman" w:hAnsi="Times New Roman"/>
          <w:sz w:val="28"/>
          <w:szCs w:val="28"/>
        </w:rPr>
        <w:t>ed</w:t>
      </w:r>
      <w:r w:rsidR="00936584" w:rsidRPr="00936584">
        <w:rPr>
          <w:rFonts w:ascii="Times New Roman" w:hAnsi="Times New Roman"/>
          <w:sz w:val="28"/>
          <w:szCs w:val="28"/>
        </w:rPr>
        <w:t xml:space="preserve"> </w:t>
      </w:r>
      <w:r>
        <w:rPr>
          <w:rFonts w:ascii="Times New Roman" w:hAnsi="Times New Roman"/>
          <w:sz w:val="28"/>
          <w:szCs w:val="28"/>
        </w:rPr>
        <w:t xml:space="preserve">for the DEFENDANTS </w:t>
      </w:r>
      <w:r w:rsidR="00936584" w:rsidRPr="00936584">
        <w:rPr>
          <w:rFonts w:ascii="Times New Roman" w:hAnsi="Times New Roman"/>
          <w:sz w:val="28"/>
          <w:szCs w:val="28"/>
        </w:rPr>
        <w:t xml:space="preserve">to bring </w:t>
      </w:r>
      <w:r>
        <w:rPr>
          <w:rFonts w:ascii="Times New Roman" w:hAnsi="Times New Roman"/>
          <w:sz w:val="28"/>
          <w:szCs w:val="28"/>
        </w:rPr>
        <w:t>“</w:t>
      </w:r>
      <w:r w:rsidR="00227C4D">
        <w:rPr>
          <w:rFonts w:ascii="Times New Roman" w:hAnsi="Times New Roman"/>
          <w:sz w:val="28"/>
          <w:szCs w:val="28"/>
        </w:rPr>
        <w:t xml:space="preserve">proper </w:t>
      </w:r>
      <w:r w:rsidR="00936584" w:rsidRPr="00936584">
        <w:rPr>
          <w:rFonts w:ascii="Times New Roman" w:hAnsi="Times New Roman"/>
          <w:sz w:val="28"/>
          <w:szCs w:val="28"/>
        </w:rPr>
        <w:t>evidence of the chain of title</w:t>
      </w:r>
      <w:r w:rsidR="00227C4D">
        <w:rPr>
          <w:rFonts w:ascii="Times New Roman" w:hAnsi="Times New Roman"/>
          <w:sz w:val="28"/>
          <w:szCs w:val="28"/>
        </w:rPr>
        <w:t>.</w:t>
      </w:r>
      <w:r>
        <w:rPr>
          <w:rFonts w:ascii="Times New Roman" w:hAnsi="Times New Roman"/>
          <w:sz w:val="28"/>
          <w:szCs w:val="28"/>
        </w:rPr>
        <w:t>”</w:t>
      </w:r>
    </w:p>
    <w:p w:rsidR="00227C4D" w:rsidRPr="00227C4D" w:rsidRDefault="00227C4D" w:rsidP="00227C4D">
      <w:pPr>
        <w:pStyle w:val="ListParagraph"/>
        <w:rPr>
          <w:rFonts w:ascii="Times New Roman" w:hAnsi="Times New Roman"/>
          <w:sz w:val="28"/>
          <w:szCs w:val="28"/>
        </w:rPr>
      </w:pPr>
    </w:p>
    <w:p w:rsidR="00227C4D" w:rsidRDefault="00936584" w:rsidP="00936584">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36584">
        <w:rPr>
          <w:rFonts w:ascii="Times New Roman" w:hAnsi="Times New Roman"/>
          <w:sz w:val="28"/>
          <w:szCs w:val="28"/>
        </w:rPr>
        <w:t xml:space="preserve"> </w:t>
      </w:r>
      <w:r w:rsidR="00227C4D">
        <w:rPr>
          <w:rFonts w:ascii="Times New Roman" w:hAnsi="Times New Roman"/>
          <w:sz w:val="28"/>
          <w:szCs w:val="28"/>
        </w:rPr>
        <w:t xml:space="preserve">DEFENDANTS didn’t </w:t>
      </w:r>
      <w:r w:rsidR="001A7621">
        <w:rPr>
          <w:rFonts w:ascii="Times New Roman" w:hAnsi="Times New Roman"/>
          <w:sz w:val="28"/>
          <w:szCs w:val="28"/>
        </w:rPr>
        <w:t>attempt to be address</w:t>
      </w:r>
      <w:r w:rsidR="00227C4D">
        <w:rPr>
          <w:rFonts w:ascii="Times New Roman" w:hAnsi="Times New Roman"/>
          <w:sz w:val="28"/>
          <w:szCs w:val="28"/>
        </w:rPr>
        <w:t xml:space="preserve"> the standing order</w:t>
      </w:r>
      <w:r w:rsidR="001A7621">
        <w:rPr>
          <w:rFonts w:ascii="Times New Roman" w:hAnsi="Times New Roman"/>
          <w:sz w:val="28"/>
          <w:szCs w:val="28"/>
        </w:rPr>
        <w:t xml:space="preserve"> for 7 months. </w:t>
      </w:r>
    </w:p>
    <w:p w:rsidR="00227C4D" w:rsidRPr="00227C4D" w:rsidRDefault="00227C4D" w:rsidP="00227C4D">
      <w:pPr>
        <w:pStyle w:val="ListParagraph"/>
        <w:rPr>
          <w:rFonts w:ascii="Times New Roman" w:hAnsi="Times New Roman"/>
          <w:sz w:val="28"/>
          <w:szCs w:val="28"/>
        </w:rPr>
      </w:pPr>
    </w:p>
    <w:p w:rsidR="001A7621" w:rsidRDefault="00227C4D" w:rsidP="00936584">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 Since the DEFENDANTS have ignored this order completely, we can only speculate that the time earned by the </w:t>
      </w:r>
      <w:r w:rsidR="001A7621">
        <w:rPr>
          <w:rFonts w:ascii="Times New Roman" w:hAnsi="Times New Roman"/>
          <w:sz w:val="28"/>
          <w:szCs w:val="28"/>
        </w:rPr>
        <w:t xml:space="preserve">DEFENDANT’S MOTION FOR REMOVAL was needed to retroactively assign the SUBJECT PROPERTY. </w:t>
      </w:r>
      <w:r w:rsidR="00936584" w:rsidRPr="00936584">
        <w:rPr>
          <w:rFonts w:ascii="Times New Roman" w:hAnsi="Times New Roman"/>
          <w:sz w:val="28"/>
          <w:szCs w:val="28"/>
        </w:rPr>
        <w:t xml:space="preserve"> </w:t>
      </w:r>
    </w:p>
    <w:p w:rsidR="001A7621" w:rsidRPr="001A7621" w:rsidRDefault="001A7621" w:rsidP="001A7621">
      <w:pPr>
        <w:pStyle w:val="ListParagraph"/>
        <w:rPr>
          <w:rFonts w:ascii="Times New Roman" w:hAnsi="Times New Roman"/>
          <w:sz w:val="28"/>
          <w:szCs w:val="28"/>
        </w:rPr>
      </w:pPr>
    </w:p>
    <w:p w:rsidR="00936584" w:rsidRPr="00936584" w:rsidRDefault="001A7621" w:rsidP="00936584">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 </w:t>
      </w:r>
      <w:r w:rsidR="00936584" w:rsidRPr="00936584">
        <w:rPr>
          <w:rFonts w:ascii="Times New Roman" w:hAnsi="Times New Roman"/>
          <w:sz w:val="28"/>
          <w:szCs w:val="28"/>
        </w:rPr>
        <w:t xml:space="preserve">The ASSIGNMENT OF NOTE AND SECURITY DEED filed by the DEFENDANTS on Feb. 8, 2010 is </w:t>
      </w:r>
      <w:r w:rsidR="00227C4D">
        <w:rPr>
          <w:rFonts w:ascii="Times New Roman" w:hAnsi="Times New Roman"/>
          <w:sz w:val="28"/>
          <w:szCs w:val="28"/>
        </w:rPr>
        <w:t xml:space="preserve">still </w:t>
      </w:r>
      <w:r w:rsidR="00936584" w:rsidRPr="00936584">
        <w:rPr>
          <w:rFonts w:ascii="Times New Roman" w:hAnsi="Times New Roman"/>
          <w:sz w:val="28"/>
          <w:szCs w:val="28"/>
        </w:rPr>
        <w:t>woefully inadequate if n</w:t>
      </w:r>
      <w:r w:rsidR="00227C4D">
        <w:rPr>
          <w:rFonts w:ascii="Times New Roman" w:hAnsi="Times New Roman"/>
          <w:sz w:val="28"/>
          <w:szCs w:val="28"/>
        </w:rPr>
        <w:t>ot completely fraudulent for three</w:t>
      </w:r>
      <w:r w:rsidR="00936584" w:rsidRPr="00936584">
        <w:rPr>
          <w:rFonts w:ascii="Times New Roman" w:hAnsi="Times New Roman"/>
          <w:sz w:val="28"/>
          <w:szCs w:val="28"/>
        </w:rPr>
        <w:t xml:space="preserve"> reasons:</w:t>
      </w:r>
    </w:p>
    <w:p w:rsidR="00227C4D" w:rsidRDefault="00227C4D" w:rsidP="00936584">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Jeffrey Stephan’s signature and testimony in two separate depositions disqualifies the assignment as “proper.”</w:t>
      </w:r>
    </w:p>
    <w:p w:rsidR="00936584" w:rsidRPr="00936584" w:rsidRDefault="00936584" w:rsidP="00936584">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36584">
        <w:rPr>
          <w:rFonts w:ascii="Times New Roman" w:hAnsi="Times New Roman"/>
          <w:sz w:val="28"/>
          <w:szCs w:val="28"/>
        </w:rPr>
        <w:lastRenderedPageBreak/>
        <w:t>Since it’s not disputed that the Plaintiff executed the Mortgag</w:t>
      </w:r>
      <w:r>
        <w:rPr>
          <w:rFonts w:ascii="Times New Roman" w:hAnsi="Times New Roman"/>
          <w:sz w:val="28"/>
          <w:szCs w:val="28"/>
        </w:rPr>
        <w:t>e</w:t>
      </w:r>
      <w:r w:rsidRPr="00936584">
        <w:rPr>
          <w:rFonts w:ascii="Times New Roman" w:hAnsi="Times New Roman"/>
          <w:sz w:val="28"/>
          <w:szCs w:val="28"/>
        </w:rPr>
        <w:t xml:space="preserve"> with FT Mortgage Company, </w:t>
      </w:r>
      <w:r w:rsidR="00227C4D">
        <w:rPr>
          <w:rFonts w:ascii="Times New Roman" w:hAnsi="Times New Roman"/>
          <w:sz w:val="28"/>
          <w:szCs w:val="28"/>
        </w:rPr>
        <w:t xml:space="preserve">DEFENDANTS have failed to show how the </w:t>
      </w:r>
      <w:r w:rsidRPr="00936584">
        <w:rPr>
          <w:rFonts w:ascii="Times New Roman" w:hAnsi="Times New Roman"/>
          <w:sz w:val="28"/>
          <w:szCs w:val="28"/>
        </w:rPr>
        <w:t xml:space="preserve"> </w:t>
      </w:r>
      <w:r w:rsidRPr="00227C4D">
        <w:rPr>
          <w:rFonts w:ascii="Times New Roman" w:hAnsi="Times New Roman"/>
          <w:b/>
          <w:sz w:val="28"/>
          <w:szCs w:val="28"/>
        </w:rPr>
        <w:t>Assignee</w:t>
      </w:r>
      <w:r w:rsidRPr="00936584">
        <w:rPr>
          <w:rFonts w:ascii="Times New Roman" w:hAnsi="Times New Roman"/>
          <w:sz w:val="28"/>
          <w:szCs w:val="28"/>
        </w:rPr>
        <w:t xml:space="preserve"> came to own the Note and Security Deed for SUBJECT PROPERTY so that it could lawfully assign it on Feb. </w:t>
      </w:r>
      <w:r>
        <w:rPr>
          <w:rFonts w:ascii="Times New Roman" w:hAnsi="Times New Roman"/>
          <w:sz w:val="28"/>
          <w:szCs w:val="28"/>
        </w:rPr>
        <w:t xml:space="preserve">8, </w:t>
      </w:r>
      <w:r w:rsidRPr="00936584">
        <w:rPr>
          <w:rFonts w:ascii="Times New Roman" w:hAnsi="Times New Roman"/>
          <w:sz w:val="28"/>
          <w:szCs w:val="28"/>
        </w:rPr>
        <w:t>2010</w:t>
      </w:r>
      <w:r w:rsidR="00227C4D">
        <w:rPr>
          <w:rFonts w:ascii="Times New Roman" w:hAnsi="Times New Roman"/>
          <w:sz w:val="28"/>
          <w:szCs w:val="28"/>
        </w:rPr>
        <w:t xml:space="preserve"> to the </w:t>
      </w:r>
      <w:r w:rsidR="00227C4D" w:rsidRPr="00227C4D">
        <w:rPr>
          <w:rFonts w:ascii="Times New Roman" w:hAnsi="Times New Roman"/>
          <w:b/>
          <w:sz w:val="28"/>
          <w:szCs w:val="28"/>
        </w:rPr>
        <w:t>Assignee.</w:t>
      </w:r>
    </w:p>
    <w:p w:rsidR="00B74AE3" w:rsidRDefault="00B74AE3" w:rsidP="00936584">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The DEFENDANTS admit to being a successor to various trusts. However, b</w:t>
      </w:r>
      <w:r w:rsidR="00936584" w:rsidRPr="00936584">
        <w:rPr>
          <w:rFonts w:ascii="Times New Roman" w:hAnsi="Times New Roman"/>
          <w:sz w:val="28"/>
          <w:szCs w:val="28"/>
        </w:rPr>
        <w:t xml:space="preserve">ecoming a “successor” to another securities fund, doesn’t </w:t>
      </w:r>
      <w:r w:rsidR="00936584">
        <w:rPr>
          <w:rFonts w:ascii="Times New Roman" w:hAnsi="Times New Roman"/>
          <w:sz w:val="28"/>
          <w:szCs w:val="28"/>
        </w:rPr>
        <w:t xml:space="preserve">provide </w:t>
      </w:r>
      <w:r>
        <w:rPr>
          <w:rFonts w:ascii="Times New Roman" w:hAnsi="Times New Roman"/>
          <w:sz w:val="28"/>
          <w:szCs w:val="28"/>
        </w:rPr>
        <w:t xml:space="preserve">proper </w:t>
      </w:r>
      <w:r w:rsidR="00936584">
        <w:rPr>
          <w:rFonts w:ascii="Times New Roman" w:hAnsi="Times New Roman"/>
          <w:sz w:val="28"/>
          <w:szCs w:val="28"/>
        </w:rPr>
        <w:t xml:space="preserve">evidence </w:t>
      </w:r>
      <w:r w:rsidR="00936584" w:rsidRPr="00936584">
        <w:rPr>
          <w:rFonts w:ascii="Times New Roman" w:hAnsi="Times New Roman"/>
          <w:sz w:val="28"/>
          <w:szCs w:val="28"/>
        </w:rPr>
        <w:t xml:space="preserve">that </w:t>
      </w:r>
      <w:r w:rsidR="00936584">
        <w:rPr>
          <w:rFonts w:ascii="Times New Roman" w:hAnsi="Times New Roman"/>
          <w:sz w:val="28"/>
          <w:szCs w:val="28"/>
        </w:rPr>
        <w:t>the Plaintiff’s</w:t>
      </w:r>
      <w:r w:rsidR="00936584" w:rsidRPr="00936584">
        <w:rPr>
          <w:rFonts w:ascii="Times New Roman" w:hAnsi="Times New Roman"/>
          <w:sz w:val="28"/>
          <w:szCs w:val="28"/>
        </w:rPr>
        <w:t xml:space="preserve"> mortgage </w:t>
      </w:r>
      <w:r w:rsidR="00936584">
        <w:rPr>
          <w:rFonts w:ascii="Times New Roman" w:hAnsi="Times New Roman"/>
          <w:sz w:val="28"/>
          <w:szCs w:val="28"/>
        </w:rPr>
        <w:t xml:space="preserve">note </w:t>
      </w:r>
      <w:r w:rsidR="00936584" w:rsidRPr="00936584">
        <w:rPr>
          <w:rFonts w:ascii="Times New Roman" w:hAnsi="Times New Roman"/>
          <w:sz w:val="28"/>
          <w:szCs w:val="28"/>
        </w:rPr>
        <w:t xml:space="preserve">or security deed was including in </w:t>
      </w:r>
      <w:r>
        <w:rPr>
          <w:rFonts w:ascii="Times New Roman" w:hAnsi="Times New Roman"/>
          <w:sz w:val="28"/>
          <w:szCs w:val="28"/>
        </w:rPr>
        <w:t xml:space="preserve">either the initial or succeeding </w:t>
      </w:r>
      <w:r w:rsidR="00936584" w:rsidRPr="00936584">
        <w:rPr>
          <w:rFonts w:ascii="Times New Roman" w:hAnsi="Times New Roman"/>
          <w:sz w:val="28"/>
          <w:szCs w:val="28"/>
        </w:rPr>
        <w:t>the succession</w:t>
      </w:r>
      <w:r>
        <w:rPr>
          <w:rFonts w:ascii="Times New Roman" w:hAnsi="Times New Roman"/>
          <w:sz w:val="28"/>
          <w:szCs w:val="28"/>
        </w:rPr>
        <w:t xml:space="preserve">s. </w:t>
      </w:r>
    </w:p>
    <w:p w:rsidR="00D20438" w:rsidRPr="00D20438" w:rsidRDefault="00D20438" w:rsidP="00D20438">
      <w:pPr>
        <w:spacing w:after="0" w:line="390" w:lineRule="atLeast"/>
        <w:ind w:left="360" w:firstLine="360"/>
        <w:rPr>
          <w:rFonts w:ascii="Times New Roman" w:eastAsia="Times New Roman" w:hAnsi="Times New Roman"/>
          <w:b/>
          <w:color w:val="000000"/>
          <w:sz w:val="32"/>
          <w:szCs w:val="28"/>
        </w:rPr>
      </w:pPr>
      <w:r w:rsidRPr="00D20438">
        <w:rPr>
          <w:rFonts w:ascii="Times New Roman" w:eastAsia="Times New Roman" w:hAnsi="Times New Roman"/>
          <w:b/>
          <w:color w:val="000000"/>
          <w:sz w:val="32"/>
          <w:szCs w:val="28"/>
        </w:rPr>
        <w:t>Party cannot produce admissible evidence to support the fact.</w:t>
      </w:r>
      <w:r w:rsidRPr="00D20438">
        <w:rPr>
          <w:rFonts w:ascii="Times New Roman" w:eastAsia="Times New Roman" w:hAnsi="Times New Roman"/>
          <w:b/>
          <w:color w:val="000000"/>
          <w:sz w:val="32"/>
          <w:szCs w:val="28"/>
        </w:rPr>
        <w:tab/>
      </w:r>
      <w:r w:rsidRPr="00D20438">
        <w:rPr>
          <w:rFonts w:ascii="Times New Roman" w:eastAsia="Times New Roman" w:hAnsi="Times New Roman"/>
          <w:b/>
          <w:color w:val="000000"/>
          <w:sz w:val="32"/>
          <w:szCs w:val="28"/>
        </w:rPr>
        <w:tab/>
      </w:r>
    </w:p>
    <w:p w:rsidR="00936584" w:rsidRDefault="00936584" w:rsidP="00B74AE3">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440" w:right="-576"/>
        <w:rPr>
          <w:rFonts w:ascii="Times New Roman" w:hAnsi="Times New Roman"/>
          <w:sz w:val="28"/>
          <w:szCs w:val="28"/>
        </w:rPr>
      </w:pPr>
    </w:p>
    <w:p w:rsidR="00064CC0" w:rsidRPr="00B74AE3" w:rsidRDefault="00B74AE3" w:rsidP="00B74AE3">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Pr>
          <w:rStyle w:val="ptext-1"/>
          <w:rFonts w:ascii="Times New Roman" w:hAnsi="Times New Roman"/>
          <w:bCs/>
          <w:color w:val="000000"/>
          <w:sz w:val="28"/>
          <w:szCs w:val="28"/>
        </w:rPr>
        <w:t xml:space="preserve"> </w:t>
      </w:r>
      <w:r w:rsidR="00064CC0" w:rsidRPr="00B74AE3">
        <w:rPr>
          <w:rStyle w:val="ptext-1"/>
          <w:rFonts w:ascii="Times New Roman" w:hAnsi="Times New Roman"/>
          <w:bCs/>
          <w:color w:val="000000"/>
          <w:sz w:val="28"/>
          <w:szCs w:val="28"/>
        </w:rPr>
        <w:t>The DEFENDANTS’  inability to produce evidence to successfully challenge these facts are evidenced by their:</w:t>
      </w:r>
    </w:p>
    <w:p w:rsidR="00064CC0" w:rsidRPr="009A25D9" w:rsidRDefault="00064CC0" w:rsidP="00B74AE3">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sidRPr="009A25D9">
        <w:rPr>
          <w:rStyle w:val="ptext-1"/>
          <w:rFonts w:ascii="Times New Roman" w:hAnsi="Times New Roman"/>
          <w:bCs/>
          <w:color w:val="000000"/>
          <w:sz w:val="28"/>
          <w:szCs w:val="28"/>
        </w:rPr>
        <w:t xml:space="preserve">Attempts to redirect the COURTS attention away from their breech of the aforementioned GA laws governing property recordation, assignment and foreclosure </w:t>
      </w:r>
    </w:p>
    <w:p w:rsidR="00064CC0" w:rsidRPr="009A25D9" w:rsidRDefault="00064CC0" w:rsidP="00B74AE3">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sidRPr="009A25D9">
        <w:rPr>
          <w:rStyle w:val="ptext-1"/>
          <w:rFonts w:ascii="Times New Roman" w:hAnsi="Times New Roman"/>
          <w:bCs/>
          <w:color w:val="000000"/>
          <w:sz w:val="28"/>
          <w:szCs w:val="28"/>
        </w:rPr>
        <w:t xml:space="preserve">Attempts to direct the COURT away from their wanton disregard for Federal Laws </w:t>
      </w:r>
      <w:r w:rsidRPr="009A25D9">
        <w:rPr>
          <w:rFonts w:ascii="Times New Roman" w:hAnsi="Times New Roman"/>
          <w:sz w:val="28"/>
          <w:szCs w:val="28"/>
        </w:rPr>
        <w:t xml:space="preserve">(FDCPA), 15 U.S.C. §§ 1692-1692p </w:t>
      </w:r>
      <w:r w:rsidRPr="009A25D9">
        <w:rPr>
          <w:rStyle w:val="ptext-1"/>
          <w:rFonts w:ascii="Times New Roman" w:hAnsi="Times New Roman"/>
          <w:bCs/>
          <w:color w:val="000000"/>
          <w:sz w:val="28"/>
          <w:szCs w:val="28"/>
        </w:rPr>
        <w:t>protecting P</w:t>
      </w:r>
      <w:r w:rsidR="00F73D80" w:rsidRPr="009A25D9">
        <w:rPr>
          <w:rStyle w:val="ptext-1"/>
          <w:rFonts w:ascii="Times New Roman" w:hAnsi="Times New Roman"/>
          <w:bCs/>
          <w:color w:val="000000"/>
          <w:sz w:val="28"/>
          <w:szCs w:val="28"/>
        </w:rPr>
        <w:t xml:space="preserve">LAINTIFF’S </w:t>
      </w:r>
      <w:r w:rsidRPr="009A25D9">
        <w:rPr>
          <w:rStyle w:val="ptext-1"/>
          <w:rFonts w:ascii="Times New Roman" w:hAnsi="Times New Roman"/>
          <w:bCs/>
          <w:color w:val="000000"/>
          <w:sz w:val="28"/>
          <w:szCs w:val="28"/>
        </w:rPr>
        <w:t xml:space="preserve">right to debt verification- including knowing the actual SECURED CREDITOR and holder in due course for his property  </w:t>
      </w:r>
    </w:p>
    <w:p w:rsidR="00064CC0" w:rsidRPr="009A25D9" w:rsidRDefault="00064CC0" w:rsidP="00B74AE3">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sidRPr="009A25D9">
        <w:rPr>
          <w:rStyle w:val="ptext-1"/>
          <w:rFonts w:ascii="Times New Roman" w:hAnsi="Times New Roman"/>
          <w:bCs/>
          <w:color w:val="000000"/>
          <w:sz w:val="28"/>
          <w:szCs w:val="28"/>
        </w:rPr>
        <w:lastRenderedPageBreak/>
        <w:t>Ignoring  Judge TANGELA BARRIE’S standing ORDER that followed the case with Removal</w:t>
      </w:r>
    </w:p>
    <w:p w:rsidR="00064CC0" w:rsidRPr="009A25D9" w:rsidRDefault="00064CC0" w:rsidP="00B74AE3">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bCs/>
          <w:color w:val="000000"/>
          <w:sz w:val="28"/>
          <w:szCs w:val="28"/>
        </w:rPr>
      </w:pPr>
      <w:r w:rsidRPr="009A25D9">
        <w:rPr>
          <w:rStyle w:val="ptext-1"/>
          <w:rFonts w:ascii="Times New Roman" w:hAnsi="Times New Roman"/>
          <w:bCs/>
          <w:color w:val="000000"/>
          <w:sz w:val="28"/>
          <w:szCs w:val="28"/>
        </w:rPr>
        <w:t xml:space="preserve">Alleging that the PLAINTIFF defaulted on his mortgage payments and </w:t>
      </w:r>
      <w:r w:rsidR="00B74AE3">
        <w:rPr>
          <w:rStyle w:val="ptext-1"/>
          <w:rFonts w:ascii="Times New Roman" w:hAnsi="Times New Roman"/>
          <w:bCs/>
          <w:color w:val="000000"/>
          <w:sz w:val="28"/>
          <w:szCs w:val="28"/>
        </w:rPr>
        <w:t xml:space="preserve">that Plaintiff </w:t>
      </w:r>
      <w:r w:rsidRPr="009A25D9">
        <w:rPr>
          <w:rStyle w:val="ptext-1"/>
          <w:rFonts w:ascii="Times New Roman" w:hAnsi="Times New Roman"/>
          <w:bCs/>
          <w:color w:val="000000"/>
          <w:sz w:val="28"/>
          <w:szCs w:val="28"/>
        </w:rPr>
        <w:t xml:space="preserve">sought unjust court relief, </w:t>
      </w:r>
      <w:r w:rsidR="00B74AE3">
        <w:rPr>
          <w:rStyle w:val="ptext-1"/>
          <w:rFonts w:ascii="Times New Roman" w:hAnsi="Times New Roman"/>
          <w:bCs/>
          <w:color w:val="000000"/>
          <w:sz w:val="28"/>
          <w:szCs w:val="28"/>
        </w:rPr>
        <w:t>when they refused to provide t</w:t>
      </w:r>
      <w:r w:rsidRPr="009A25D9">
        <w:rPr>
          <w:rStyle w:val="ptext-1"/>
          <w:rFonts w:ascii="Times New Roman" w:hAnsi="Times New Roman"/>
          <w:bCs/>
          <w:color w:val="000000"/>
          <w:sz w:val="28"/>
          <w:szCs w:val="28"/>
        </w:rPr>
        <w:t>he P</w:t>
      </w:r>
      <w:r w:rsidR="00F73D80" w:rsidRPr="009A25D9">
        <w:rPr>
          <w:rStyle w:val="ptext-1"/>
          <w:rFonts w:ascii="Times New Roman" w:hAnsi="Times New Roman"/>
          <w:bCs/>
          <w:color w:val="000000"/>
          <w:sz w:val="28"/>
          <w:szCs w:val="28"/>
        </w:rPr>
        <w:t>LAINTIFF</w:t>
      </w:r>
      <w:r w:rsidRPr="009A25D9">
        <w:rPr>
          <w:rStyle w:val="ptext-1"/>
          <w:rFonts w:ascii="Times New Roman" w:hAnsi="Times New Roman"/>
          <w:bCs/>
          <w:color w:val="000000"/>
          <w:sz w:val="28"/>
          <w:szCs w:val="28"/>
        </w:rPr>
        <w:t xml:space="preserve"> </w:t>
      </w:r>
      <w:r w:rsidR="00B74AE3">
        <w:rPr>
          <w:rStyle w:val="ptext-1"/>
          <w:rFonts w:ascii="Times New Roman" w:hAnsi="Times New Roman"/>
          <w:bCs/>
          <w:color w:val="000000"/>
          <w:sz w:val="28"/>
          <w:szCs w:val="28"/>
        </w:rPr>
        <w:t xml:space="preserve">debt validation </w:t>
      </w:r>
      <w:r w:rsidRPr="009A25D9">
        <w:rPr>
          <w:rStyle w:val="ptext-1"/>
          <w:rFonts w:ascii="Times New Roman" w:hAnsi="Times New Roman"/>
          <w:bCs/>
          <w:color w:val="000000"/>
          <w:sz w:val="28"/>
          <w:szCs w:val="28"/>
        </w:rPr>
        <w:t xml:space="preserve">under </w:t>
      </w:r>
      <w:r w:rsidRPr="009A25D9">
        <w:rPr>
          <w:rFonts w:ascii="Times New Roman" w:hAnsi="Times New Roman"/>
          <w:sz w:val="28"/>
          <w:szCs w:val="28"/>
        </w:rPr>
        <w:t xml:space="preserve">(FDCPA), 15 U.S.C. §§ 1692-1692p </w:t>
      </w:r>
      <w:r w:rsidRPr="009A25D9">
        <w:rPr>
          <w:rStyle w:val="ptext-1"/>
          <w:rFonts w:ascii="Times New Roman" w:hAnsi="Times New Roman"/>
          <w:bCs/>
          <w:color w:val="000000"/>
          <w:sz w:val="28"/>
          <w:szCs w:val="28"/>
        </w:rPr>
        <w:t xml:space="preserve"> was commenced. See Affidavits  (EXHIBIT A and ORIGINAL COMPLAINT)</w:t>
      </w:r>
    </w:p>
    <w:p w:rsidR="00064CC0" w:rsidRPr="009A25D9" w:rsidRDefault="00064CC0" w:rsidP="00B74AE3">
      <w:pPr>
        <w:pStyle w:val="ListParagraph"/>
        <w:numPr>
          <w:ilvl w:val="1"/>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28"/>
          <w:szCs w:val="28"/>
        </w:rPr>
      </w:pPr>
      <w:r w:rsidRPr="009A25D9">
        <w:rPr>
          <w:rStyle w:val="ptext-1"/>
          <w:rFonts w:ascii="Times New Roman" w:hAnsi="Times New Roman"/>
          <w:bCs/>
          <w:color w:val="000000"/>
          <w:sz w:val="28"/>
          <w:szCs w:val="28"/>
        </w:rPr>
        <w:t>Attempts to redirect the COURT and restate the P</w:t>
      </w:r>
      <w:r w:rsidR="00F73D80" w:rsidRPr="009A25D9">
        <w:rPr>
          <w:rStyle w:val="ptext-1"/>
          <w:rFonts w:ascii="Times New Roman" w:hAnsi="Times New Roman"/>
          <w:bCs/>
          <w:color w:val="000000"/>
          <w:sz w:val="28"/>
          <w:szCs w:val="28"/>
        </w:rPr>
        <w:t xml:space="preserve">LAINTIFF’S </w:t>
      </w:r>
      <w:r w:rsidRPr="009A25D9">
        <w:rPr>
          <w:rStyle w:val="ptext-1"/>
          <w:rFonts w:ascii="Times New Roman" w:hAnsi="Times New Roman"/>
          <w:bCs/>
          <w:color w:val="000000"/>
          <w:sz w:val="28"/>
          <w:szCs w:val="28"/>
        </w:rPr>
        <w:t xml:space="preserve">case as an Internet-inspired “Produce the Note Scam.” In this regard the DEFENDANTS have even said </w:t>
      </w:r>
      <w:r w:rsidRPr="009A25D9">
        <w:rPr>
          <w:rFonts w:ascii="Times New Roman" w:hAnsi="Times New Roman"/>
          <w:sz w:val="28"/>
          <w:szCs w:val="28"/>
        </w:rPr>
        <w:t>“that Plaintiff cannot produce a Georgia law requiring “either a lender or its attorney</w:t>
      </w:r>
      <w:r w:rsidR="005761CD" w:rsidRPr="009A25D9">
        <w:rPr>
          <w:rFonts w:ascii="Times New Roman" w:hAnsi="Times New Roman"/>
          <w:sz w:val="28"/>
          <w:szCs w:val="28"/>
        </w:rPr>
        <w:t xml:space="preserve"> </w:t>
      </w:r>
      <w:r w:rsidRPr="009A25D9">
        <w:rPr>
          <w:rFonts w:ascii="Times New Roman" w:hAnsi="Times New Roman"/>
          <w:sz w:val="28"/>
          <w:szCs w:val="28"/>
        </w:rPr>
        <w:t>conducting the foreclosure sale” to “Produce The Note.”  (See DEFENDANTS MOTIONS FOR JUDGEMENT ON THE PLEADINGS)</w:t>
      </w:r>
    </w:p>
    <w:p w:rsidR="00064CC0" w:rsidRPr="009A25D9" w:rsidRDefault="00B74AE3" w:rsidP="00B74AE3">
      <w:pPr>
        <w:pStyle w:val="ListParagraph"/>
        <w:numPr>
          <w:ilvl w:val="0"/>
          <w:numId w:val="23"/>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b/>
          <w:sz w:val="28"/>
          <w:szCs w:val="28"/>
        </w:rPr>
      </w:pPr>
      <w:r>
        <w:rPr>
          <w:rFonts w:ascii="Times New Roman" w:hAnsi="Times New Roman"/>
          <w:sz w:val="28"/>
          <w:szCs w:val="28"/>
        </w:rPr>
        <w:t xml:space="preserve"> </w:t>
      </w:r>
      <w:r w:rsidR="00064CC0" w:rsidRPr="009A25D9">
        <w:rPr>
          <w:rFonts w:ascii="Times New Roman" w:hAnsi="Times New Roman"/>
          <w:sz w:val="28"/>
          <w:szCs w:val="28"/>
        </w:rPr>
        <w:t xml:space="preserve">The aforementioned attempts at redirection while ignoring their obligation to </w:t>
      </w:r>
      <w:r>
        <w:rPr>
          <w:rFonts w:ascii="Times New Roman" w:hAnsi="Times New Roman"/>
          <w:sz w:val="28"/>
          <w:szCs w:val="28"/>
        </w:rPr>
        <w:t xml:space="preserve">follow </w:t>
      </w:r>
      <w:r w:rsidR="00064CC0" w:rsidRPr="009A25D9">
        <w:rPr>
          <w:rFonts w:ascii="Times New Roman" w:hAnsi="Times New Roman"/>
          <w:sz w:val="28"/>
          <w:szCs w:val="28"/>
        </w:rPr>
        <w:t xml:space="preserve">GA Law OCGA§ 44 – 14 – 162.2 (a-c)  </w:t>
      </w:r>
      <w:r>
        <w:rPr>
          <w:rFonts w:ascii="Times New Roman" w:hAnsi="Times New Roman"/>
          <w:sz w:val="28"/>
          <w:szCs w:val="28"/>
        </w:rPr>
        <w:t xml:space="preserve">and comply with a standing Court </w:t>
      </w:r>
      <w:r w:rsidR="00064CC0" w:rsidRPr="009A25D9">
        <w:rPr>
          <w:rFonts w:ascii="Times New Roman" w:hAnsi="Times New Roman"/>
          <w:sz w:val="28"/>
          <w:szCs w:val="28"/>
        </w:rPr>
        <w:t>ORDER</w:t>
      </w:r>
      <w:r>
        <w:rPr>
          <w:rFonts w:ascii="Times New Roman" w:hAnsi="Times New Roman"/>
          <w:sz w:val="28"/>
          <w:szCs w:val="28"/>
        </w:rPr>
        <w:t xml:space="preserve"> </w:t>
      </w:r>
      <w:r w:rsidR="00064CC0" w:rsidRPr="009A25D9">
        <w:rPr>
          <w:rFonts w:ascii="Times New Roman" w:hAnsi="Times New Roman"/>
          <w:sz w:val="28"/>
          <w:szCs w:val="28"/>
        </w:rPr>
        <w:t xml:space="preserve">by DEKALB Superior Court Judge, Tangela Barrie proves that they cannot provide such evidence - now or in the future. </w:t>
      </w:r>
    </w:p>
    <w:p w:rsidR="00064CC0" w:rsidRPr="009A25D9" w:rsidRDefault="00064CC0" w:rsidP="00064CC0">
      <w:pPr>
        <w:rPr>
          <w:rFonts w:ascii="Times New Roman" w:hAnsi="Times New Roman"/>
          <w:sz w:val="28"/>
          <w:szCs w:val="28"/>
        </w:rPr>
      </w:pPr>
    </w:p>
    <w:p w:rsidR="00064CC0" w:rsidRPr="009A25D9" w:rsidRDefault="00064CC0"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Style w:val="ptext-1"/>
          <w:rFonts w:ascii="Times New Roman" w:hAnsi="Times New Roman"/>
          <w:sz w:val="28"/>
          <w:szCs w:val="28"/>
        </w:rPr>
      </w:pPr>
    </w:p>
    <w:p w:rsidR="00064CC0" w:rsidRPr="009A25D9" w:rsidRDefault="00064CC0" w:rsidP="007D5D6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hAnsi="Times New Roman"/>
          <w:b/>
          <w:sz w:val="28"/>
          <w:szCs w:val="28"/>
        </w:rPr>
      </w:pPr>
    </w:p>
    <w:p w:rsidR="00064CC0" w:rsidRPr="009A25D9" w:rsidRDefault="00064CC0" w:rsidP="007D5D6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hAnsi="Times New Roman"/>
          <w:b/>
          <w:sz w:val="28"/>
          <w:szCs w:val="28"/>
        </w:rPr>
      </w:pPr>
    </w:p>
    <w:p w:rsidR="00064CC0" w:rsidRPr="009A25D9" w:rsidRDefault="00064CC0" w:rsidP="007D5D6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hAnsi="Times New Roman"/>
          <w:b/>
          <w:sz w:val="28"/>
          <w:szCs w:val="28"/>
        </w:rPr>
      </w:pPr>
    </w:p>
    <w:p w:rsidR="00C63C72" w:rsidRPr="009A25D9" w:rsidRDefault="00C63C72" w:rsidP="007D5D6D">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hAnsi="Times New Roman"/>
          <w:b/>
          <w:sz w:val="28"/>
          <w:szCs w:val="28"/>
        </w:rPr>
      </w:pPr>
      <w:r w:rsidRPr="009A25D9">
        <w:rPr>
          <w:rFonts w:ascii="Times New Roman" w:hAnsi="Times New Roman"/>
          <w:b/>
          <w:sz w:val="28"/>
          <w:szCs w:val="28"/>
        </w:rPr>
        <w:t>STANDARD OF REVIEW</w:t>
      </w:r>
    </w:p>
    <w:p w:rsidR="00C63C72" w:rsidRPr="009A25D9"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Summary judgment is proper if “the pleadings, the discovery and disclosure</w:t>
      </w:r>
    </w:p>
    <w:p w:rsidR="00C63C72" w:rsidRPr="009A25D9"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materials on file, and any affidavits show that there is no genuine issue as to any</w:t>
      </w:r>
    </w:p>
    <w:p w:rsidR="00C63C72" w:rsidRPr="009A25D9"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material fact and that the movant is entitled to judgment as a matter of law</w:t>
      </w:r>
      <w:r w:rsidR="00427BF9" w:rsidRPr="009A25D9">
        <w:rPr>
          <w:rFonts w:ascii="Times New Roman" w:hAnsi="Times New Roman"/>
          <w:sz w:val="28"/>
          <w:szCs w:val="28"/>
        </w:rPr>
        <w:t>,</w:t>
      </w:r>
      <w:r w:rsidRPr="009A25D9">
        <w:rPr>
          <w:rFonts w:ascii="Times New Roman" w:hAnsi="Times New Roman"/>
          <w:sz w:val="28"/>
          <w:szCs w:val="28"/>
        </w:rPr>
        <w:t>” Fed.</w:t>
      </w:r>
    </w:p>
    <w:p w:rsidR="00427BF9" w:rsidRPr="009A25D9" w:rsidRDefault="00C63C72" w:rsidP="00427BF9">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R. Civ. P. 56(c)</w:t>
      </w:r>
      <w:r w:rsidR="00274FBC" w:rsidRPr="009A25D9">
        <w:rPr>
          <w:rFonts w:ascii="Times New Roman" w:hAnsi="Times New Roman"/>
          <w:sz w:val="28"/>
          <w:szCs w:val="28"/>
        </w:rPr>
        <w:t>(A)</w:t>
      </w:r>
      <w:r w:rsidRPr="009A25D9">
        <w:rPr>
          <w:rFonts w:ascii="Times New Roman" w:hAnsi="Times New Roman"/>
          <w:sz w:val="28"/>
          <w:szCs w:val="28"/>
        </w:rPr>
        <w:t xml:space="preserve">. </w:t>
      </w:r>
    </w:p>
    <w:p w:rsidR="0077065C" w:rsidRPr="009A25D9" w:rsidRDefault="00427BF9"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F</w:t>
      </w:r>
      <w:r w:rsidR="00274FBC" w:rsidRPr="009A25D9">
        <w:rPr>
          <w:rFonts w:ascii="Times New Roman" w:hAnsi="Times New Roman"/>
          <w:sz w:val="28"/>
          <w:szCs w:val="28"/>
        </w:rPr>
        <w:t xml:space="preserve">ederal Rule </w:t>
      </w:r>
      <w:r w:rsidR="00064CC0" w:rsidRPr="009A25D9">
        <w:rPr>
          <w:rFonts w:ascii="Times New Roman" w:hAnsi="Times New Roman"/>
          <w:sz w:val="28"/>
          <w:szCs w:val="28"/>
        </w:rPr>
        <w:t xml:space="preserve"> </w:t>
      </w:r>
      <w:r w:rsidR="0077065C" w:rsidRPr="009A25D9">
        <w:rPr>
          <w:rFonts w:ascii="Times New Roman" w:hAnsi="Times New Roman"/>
          <w:sz w:val="28"/>
          <w:szCs w:val="28"/>
        </w:rPr>
        <w:t>Civ.</w:t>
      </w:r>
      <w:r w:rsidR="00714F91" w:rsidRPr="009A25D9">
        <w:rPr>
          <w:rFonts w:ascii="Times New Roman" w:hAnsi="Times New Roman"/>
          <w:sz w:val="28"/>
          <w:szCs w:val="28"/>
        </w:rPr>
        <w:t xml:space="preserve"> </w:t>
      </w:r>
      <w:r w:rsidR="0077065C" w:rsidRPr="009A25D9">
        <w:rPr>
          <w:rFonts w:ascii="Times New Roman" w:hAnsi="Times New Roman"/>
          <w:sz w:val="28"/>
          <w:szCs w:val="28"/>
        </w:rPr>
        <w:t xml:space="preserve">P. </w:t>
      </w:r>
      <w:r w:rsidRPr="009A25D9">
        <w:rPr>
          <w:rFonts w:ascii="Times New Roman" w:hAnsi="Times New Roman"/>
          <w:sz w:val="28"/>
          <w:szCs w:val="28"/>
        </w:rPr>
        <w:t>56</w:t>
      </w:r>
      <w:r w:rsidR="00274FBC" w:rsidRPr="009A25D9">
        <w:rPr>
          <w:rFonts w:ascii="Times New Roman" w:hAnsi="Times New Roman"/>
          <w:sz w:val="28"/>
          <w:szCs w:val="28"/>
        </w:rPr>
        <w:t>(a)</w:t>
      </w:r>
      <w:r w:rsidR="00C63C72" w:rsidRPr="009A25D9">
        <w:rPr>
          <w:rFonts w:ascii="Times New Roman" w:hAnsi="Times New Roman"/>
          <w:sz w:val="28"/>
          <w:szCs w:val="28"/>
        </w:rPr>
        <w:t xml:space="preserve"> provides that the mere existence of some alleged factual dispute between</w:t>
      </w:r>
      <w:r w:rsidR="00A03F68" w:rsidRPr="009A25D9">
        <w:rPr>
          <w:rFonts w:ascii="Times New Roman" w:hAnsi="Times New Roman"/>
          <w:sz w:val="28"/>
          <w:szCs w:val="28"/>
        </w:rPr>
        <w:t xml:space="preserve"> </w:t>
      </w:r>
      <w:r w:rsidR="00C63C72" w:rsidRPr="009A25D9">
        <w:rPr>
          <w:rFonts w:ascii="Times New Roman" w:hAnsi="Times New Roman"/>
          <w:sz w:val="28"/>
          <w:szCs w:val="28"/>
        </w:rPr>
        <w:t>the parties will not defeat an otherwise properly supported motion for summary</w:t>
      </w:r>
      <w:r w:rsidR="00A03F68" w:rsidRPr="009A25D9">
        <w:rPr>
          <w:rFonts w:ascii="Times New Roman" w:hAnsi="Times New Roman"/>
          <w:sz w:val="28"/>
          <w:szCs w:val="28"/>
        </w:rPr>
        <w:t xml:space="preserve"> </w:t>
      </w:r>
      <w:r w:rsidR="00C63C72" w:rsidRPr="009A25D9">
        <w:rPr>
          <w:rFonts w:ascii="Times New Roman" w:hAnsi="Times New Roman"/>
          <w:sz w:val="28"/>
          <w:szCs w:val="28"/>
        </w:rPr>
        <w:t>judgment</w:t>
      </w:r>
      <w:r w:rsidR="00714F91" w:rsidRPr="009A25D9">
        <w:rPr>
          <w:rFonts w:ascii="Times New Roman" w:hAnsi="Times New Roman"/>
          <w:sz w:val="28"/>
          <w:szCs w:val="28"/>
        </w:rPr>
        <w:t xml:space="preserve">; </w:t>
      </w:r>
      <w:r w:rsidR="00C63C72" w:rsidRPr="009A25D9">
        <w:rPr>
          <w:rFonts w:ascii="Times New Roman" w:hAnsi="Times New Roman"/>
          <w:sz w:val="28"/>
          <w:szCs w:val="28"/>
        </w:rPr>
        <w:t xml:space="preserve"> the requirement is that there be no genuine issue of material fact</w:t>
      </w:r>
      <w:r w:rsidR="00714F91" w:rsidRPr="009A25D9">
        <w:rPr>
          <w:rFonts w:ascii="Times New Roman" w:hAnsi="Times New Roman"/>
          <w:sz w:val="28"/>
          <w:szCs w:val="28"/>
        </w:rPr>
        <w:t>,</w:t>
      </w:r>
      <w:r w:rsidR="00C63C72" w:rsidRPr="009A25D9">
        <w:rPr>
          <w:rFonts w:ascii="Times New Roman" w:hAnsi="Times New Roman"/>
          <w:sz w:val="28"/>
          <w:szCs w:val="28"/>
        </w:rPr>
        <w:t>”</w:t>
      </w:r>
      <w:r w:rsidR="00A03F68" w:rsidRPr="009A25D9">
        <w:rPr>
          <w:rFonts w:ascii="Times New Roman" w:hAnsi="Times New Roman"/>
          <w:sz w:val="28"/>
          <w:szCs w:val="28"/>
        </w:rPr>
        <w:t xml:space="preserve"> </w:t>
      </w:r>
      <w:r w:rsidR="00C63C72" w:rsidRPr="009A25D9">
        <w:rPr>
          <w:rFonts w:ascii="Times New Roman" w:hAnsi="Times New Roman"/>
          <w:sz w:val="28"/>
          <w:szCs w:val="28"/>
        </w:rPr>
        <w:t>Anderson v. Liberty Lobby, Inc., 477 U.S. 242, 247-48 (1986) (emphasis in original).</w:t>
      </w:r>
      <w:r w:rsidR="00A03F68" w:rsidRPr="009A25D9">
        <w:rPr>
          <w:rFonts w:ascii="Times New Roman" w:hAnsi="Times New Roman"/>
          <w:sz w:val="28"/>
          <w:szCs w:val="28"/>
        </w:rPr>
        <w:t xml:space="preserve"> </w:t>
      </w:r>
      <w:r w:rsidR="00C63C72" w:rsidRPr="009A25D9">
        <w:rPr>
          <w:rFonts w:ascii="Times New Roman" w:hAnsi="Times New Roman"/>
          <w:sz w:val="28"/>
          <w:szCs w:val="28"/>
        </w:rPr>
        <w:t>The non-movant may not “rely merely on the mere allegations or denials of the</w:t>
      </w:r>
      <w:r w:rsidR="00A03F68" w:rsidRPr="009A25D9">
        <w:rPr>
          <w:rFonts w:ascii="Times New Roman" w:hAnsi="Times New Roman"/>
          <w:sz w:val="28"/>
          <w:szCs w:val="28"/>
        </w:rPr>
        <w:t xml:space="preserve"> </w:t>
      </w:r>
      <w:r w:rsidR="00C63C72" w:rsidRPr="009A25D9">
        <w:rPr>
          <w:rFonts w:ascii="Times New Roman" w:hAnsi="Times New Roman"/>
          <w:sz w:val="28"/>
          <w:szCs w:val="28"/>
        </w:rPr>
        <w:t>[non-movant’s] pleading; rather, its response must – by affidavits or as otherwise</w:t>
      </w:r>
      <w:r w:rsidR="00A03F68" w:rsidRPr="009A25D9">
        <w:rPr>
          <w:rFonts w:ascii="Times New Roman" w:hAnsi="Times New Roman"/>
          <w:sz w:val="28"/>
          <w:szCs w:val="28"/>
        </w:rPr>
        <w:t xml:space="preserve"> </w:t>
      </w:r>
      <w:r w:rsidR="00C63C72" w:rsidRPr="009A25D9">
        <w:rPr>
          <w:rFonts w:ascii="Times New Roman" w:hAnsi="Times New Roman"/>
          <w:sz w:val="28"/>
          <w:szCs w:val="28"/>
        </w:rPr>
        <w:t>provided in this rule – set forth specific facts showing a genuine issue for trial.” Fed.</w:t>
      </w:r>
      <w:r w:rsidR="00A03F68" w:rsidRPr="009A25D9">
        <w:rPr>
          <w:rFonts w:ascii="Times New Roman" w:hAnsi="Times New Roman"/>
          <w:sz w:val="28"/>
          <w:szCs w:val="28"/>
        </w:rPr>
        <w:t xml:space="preserve"> </w:t>
      </w:r>
      <w:r w:rsidR="00C63C72" w:rsidRPr="009A25D9">
        <w:rPr>
          <w:rFonts w:ascii="Times New Roman" w:hAnsi="Times New Roman"/>
          <w:sz w:val="28"/>
          <w:szCs w:val="28"/>
        </w:rPr>
        <w:t>R. Civ. P. 56(e).</w:t>
      </w:r>
    </w:p>
    <w:p w:rsidR="00C63C72" w:rsidRPr="009A25D9" w:rsidRDefault="00C63C72" w:rsidP="00C63C72">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hAnsi="Times New Roman"/>
          <w:sz w:val="28"/>
          <w:szCs w:val="28"/>
        </w:rPr>
        <w:t xml:space="preserve"> An issue is not genuine if it is created by evidence that is “merely</w:t>
      </w:r>
      <w:r w:rsidR="00A03F68" w:rsidRPr="009A25D9">
        <w:rPr>
          <w:rFonts w:ascii="Times New Roman" w:hAnsi="Times New Roman"/>
          <w:sz w:val="28"/>
          <w:szCs w:val="28"/>
        </w:rPr>
        <w:t xml:space="preserve"> </w:t>
      </w:r>
      <w:r w:rsidRPr="009A25D9">
        <w:rPr>
          <w:rFonts w:ascii="Times New Roman" w:hAnsi="Times New Roman"/>
          <w:sz w:val="28"/>
          <w:szCs w:val="28"/>
        </w:rPr>
        <w:t>colorable” or is “not significantly probative.”</w:t>
      </w:r>
      <w:r w:rsidR="00A03F68" w:rsidRPr="009A25D9">
        <w:rPr>
          <w:rFonts w:ascii="Times New Roman" w:hAnsi="Times New Roman"/>
          <w:sz w:val="28"/>
          <w:szCs w:val="28"/>
        </w:rPr>
        <w:t xml:space="preserve"> </w:t>
      </w:r>
      <w:r w:rsidRPr="009A25D9">
        <w:rPr>
          <w:rFonts w:ascii="Times New Roman" w:hAnsi="Times New Roman"/>
          <w:sz w:val="28"/>
          <w:szCs w:val="28"/>
        </w:rPr>
        <w:t>Substantive law will identify which facts are material. Id. at 248.</w:t>
      </w:r>
      <w:r w:rsidR="00A03F68" w:rsidRPr="009A25D9">
        <w:rPr>
          <w:rFonts w:ascii="Times New Roman" w:hAnsi="Times New Roman"/>
          <w:sz w:val="28"/>
          <w:szCs w:val="28"/>
        </w:rPr>
        <w:t xml:space="preserve">  </w:t>
      </w:r>
      <w:r w:rsidRPr="009A25D9">
        <w:rPr>
          <w:rFonts w:ascii="Times New Roman" w:hAnsi="Times New Roman"/>
          <w:sz w:val="28"/>
          <w:szCs w:val="28"/>
        </w:rPr>
        <w:t>Anderson, 477 U.S. at 249-50.</w:t>
      </w:r>
    </w:p>
    <w:p w:rsidR="00064CC0" w:rsidRPr="009A25D9" w:rsidRDefault="00064CC0"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eastAsia="Times New Roman" w:hAnsi="Times New Roman"/>
          <w:b/>
          <w:color w:val="000000"/>
          <w:sz w:val="28"/>
          <w:szCs w:val="28"/>
        </w:rPr>
      </w:pPr>
    </w:p>
    <w:p w:rsidR="00064CC0" w:rsidRPr="009A25D9" w:rsidRDefault="00064CC0"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eastAsia="Times New Roman" w:hAnsi="Times New Roman"/>
          <w:b/>
          <w:color w:val="000000"/>
          <w:sz w:val="28"/>
          <w:szCs w:val="28"/>
        </w:rPr>
      </w:pPr>
    </w:p>
    <w:p w:rsidR="00064CC0" w:rsidRPr="009A25D9" w:rsidRDefault="00064CC0"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eastAsia="Times New Roman" w:hAnsi="Times New Roman"/>
          <w:b/>
          <w:color w:val="000000"/>
          <w:sz w:val="28"/>
          <w:szCs w:val="28"/>
        </w:rPr>
      </w:pPr>
    </w:p>
    <w:p w:rsidR="007D5D6D" w:rsidRPr="009A25D9" w:rsidRDefault="007D5D6D"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jc w:val="center"/>
        <w:rPr>
          <w:rFonts w:ascii="Times New Roman" w:eastAsia="Times New Roman" w:hAnsi="Times New Roman"/>
          <w:b/>
          <w:color w:val="000000"/>
          <w:sz w:val="28"/>
          <w:szCs w:val="28"/>
        </w:rPr>
      </w:pPr>
      <w:r w:rsidRPr="009A25D9">
        <w:rPr>
          <w:rFonts w:ascii="Times New Roman" w:eastAsia="Times New Roman" w:hAnsi="Times New Roman"/>
          <w:b/>
          <w:color w:val="000000"/>
          <w:sz w:val="28"/>
          <w:szCs w:val="28"/>
        </w:rPr>
        <w:t>CONCLUSION</w:t>
      </w:r>
    </w:p>
    <w:p w:rsidR="007D5D6D" w:rsidRPr="009A25D9" w:rsidRDefault="007D5D6D" w:rsidP="007D5D6D">
      <w:pPr>
        <w:pStyle w:val="ListParagraph"/>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eastAsia="Times New Roman" w:hAnsi="Times New Roman"/>
          <w:color w:val="000000"/>
          <w:sz w:val="28"/>
          <w:szCs w:val="28"/>
        </w:rPr>
      </w:pPr>
      <w:r w:rsidRPr="009A25D9">
        <w:rPr>
          <w:rFonts w:ascii="Times New Roman" w:eastAsia="Times New Roman" w:hAnsi="Times New Roman"/>
          <w:color w:val="000000"/>
          <w:sz w:val="28"/>
          <w:szCs w:val="28"/>
        </w:rPr>
        <w:t xml:space="preserve">For all of the foregoing reasons, PLAINTIFF respectfully submits that he is entitled to summary judgment and </w:t>
      </w:r>
      <w:r w:rsidR="00924C93" w:rsidRPr="009A25D9">
        <w:rPr>
          <w:rFonts w:ascii="Times New Roman" w:eastAsia="Times New Roman" w:hAnsi="Times New Roman"/>
          <w:color w:val="000000"/>
          <w:sz w:val="28"/>
          <w:szCs w:val="28"/>
        </w:rPr>
        <w:t>the</w:t>
      </w:r>
      <w:r w:rsidRPr="009A25D9">
        <w:rPr>
          <w:rFonts w:ascii="Times New Roman" w:eastAsia="Times New Roman" w:hAnsi="Times New Roman"/>
          <w:color w:val="000000"/>
          <w:sz w:val="28"/>
          <w:szCs w:val="28"/>
        </w:rPr>
        <w:t xml:space="preserve"> following:</w:t>
      </w:r>
    </w:p>
    <w:p w:rsidR="00CD2235" w:rsidRPr="00D20438" w:rsidRDefault="00924C93"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eastAsia="Times New Roman" w:hAnsi="Times New Roman"/>
          <w:color w:val="000000"/>
          <w:sz w:val="28"/>
          <w:szCs w:val="28"/>
        </w:rPr>
        <w:t>Injunctive relief</w:t>
      </w:r>
      <w:r w:rsidR="00D20438">
        <w:rPr>
          <w:rFonts w:ascii="Times New Roman" w:eastAsia="Times New Roman" w:hAnsi="Times New Roman"/>
          <w:color w:val="000000"/>
          <w:sz w:val="28"/>
          <w:szCs w:val="28"/>
        </w:rPr>
        <w:t xml:space="preserve"> -</w:t>
      </w:r>
      <w:r w:rsidRPr="009A25D9">
        <w:rPr>
          <w:rFonts w:ascii="Times New Roman" w:eastAsia="Times New Roman" w:hAnsi="Times New Roman"/>
          <w:color w:val="000000"/>
          <w:sz w:val="28"/>
          <w:szCs w:val="28"/>
        </w:rPr>
        <w:t xml:space="preserve"> p</w:t>
      </w:r>
      <w:r w:rsidR="007D5D6D" w:rsidRPr="009A25D9">
        <w:rPr>
          <w:rFonts w:ascii="Times New Roman" w:eastAsia="Times New Roman" w:hAnsi="Times New Roman"/>
          <w:color w:val="000000"/>
          <w:sz w:val="28"/>
          <w:szCs w:val="28"/>
        </w:rPr>
        <w:t xml:space="preserve">ermanently enjoining DEFENDANTS from foreclosing </w:t>
      </w:r>
      <w:r w:rsidR="006B2712" w:rsidRPr="009A25D9">
        <w:rPr>
          <w:rFonts w:ascii="Times New Roman" w:eastAsia="Times New Roman" w:hAnsi="Times New Roman"/>
          <w:color w:val="000000"/>
          <w:sz w:val="28"/>
          <w:szCs w:val="28"/>
        </w:rPr>
        <w:t>or any collection</w:t>
      </w:r>
      <w:r w:rsidR="00006AE9" w:rsidRPr="009A25D9">
        <w:rPr>
          <w:rFonts w:ascii="Times New Roman" w:eastAsia="Times New Roman" w:hAnsi="Times New Roman"/>
          <w:color w:val="000000"/>
          <w:sz w:val="28"/>
          <w:szCs w:val="28"/>
        </w:rPr>
        <w:t xml:space="preserve"> of alleged debt</w:t>
      </w:r>
      <w:r w:rsidR="006B2712" w:rsidRPr="009A25D9">
        <w:rPr>
          <w:rFonts w:ascii="Times New Roman" w:eastAsia="Times New Roman" w:hAnsi="Times New Roman"/>
          <w:color w:val="000000"/>
          <w:sz w:val="28"/>
          <w:szCs w:val="28"/>
        </w:rPr>
        <w:t xml:space="preserve"> </w:t>
      </w:r>
      <w:r w:rsidR="007D5D6D" w:rsidRPr="009A25D9">
        <w:rPr>
          <w:rFonts w:ascii="Times New Roman" w:eastAsia="Times New Roman" w:hAnsi="Times New Roman"/>
          <w:color w:val="000000"/>
          <w:sz w:val="28"/>
          <w:szCs w:val="28"/>
        </w:rPr>
        <w:t>on SUBJECT PROPERTY.</w:t>
      </w:r>
    </w:p>
    <w:p w:rsidR="00D20438" w:rsidRPr="009A25D9" w:rsidRDefault="00D20438"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eastAsia="Times New Roman" w:hAnsi="Times New Roman"/>
          <w:color w:val="000000"/>
          <w:sz w:val="28"/>
          <w:szCs w:val="28"/>
        </w:rPr>
        <w:t>Declaratory relief - granting the Plaintiff  a Quiet Title for SUBJECT PROPERTY</w:t>
      </w:r>
    </w:p>
    <w:p w:rsidR="001A3D7C" w:rsidRPr="009A25D9" w:rsidRDefault="00924C93"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eastAsia="Times New Roman" w:hAnsi="Times New Roman"/>
          <w:color w:val="000000"/>
          <w:sz w:val="28"/>
          <w:szCs w:val="28"/>
        </w:rPr>
        <w:t>Restorative relief ordering the Defendants to r</w:t>
      </w:r>
      <w:r w:rsidR="001A3D7C" w:rsidRPr="009A25D9">
        <w:rPr>
          <w:rFonts w:ascii="Times New Roman" w:eastAsia="Times New Roman" w:hAnsi="Times New Roman"/>
          <w:color w:val="000000"/>
          <w:sz w:val="28"/>
          <w:szCs w:val="28"/>
        </w:rPr>
        <w:t xml:space="preserve">eturn to </w:t>
      </w:r>
      <w:r w:rsidR="0077065C" w:rsidRPr="009A25D9">
        <w:rPr>
          <w:rFonts w:ascii="Times New Roman" w:eastAsia="Times New Roman" w:hAnsi="Times New Roman"/>
          <w:color w:val="000000"/>
          <w:sz w:val="28"/>
          <w:szCs w:val="28"/>
        </w:rPr>
        <w:t>PLAINTIFF</w:t>
      </w:r>
      <w:r w:rsidR="001A3D7C" w:rsidRPr="009A25D9">
        <w:rPr>
          <w:rFonts w:ascii="Times New Roman" w:eastAsia="Times New Roman" w:hAnsi="Times New Roman"/>
          <w:color w:val="000000"/>
          <w:sz w:val="28"/>
          <w:szCs w:val="28"/>
        </w:rPr>
        <w:t xml:space="preserve"> all monies </w:t>
      </w:r>
      <w:r w:rsidRPr="009A25D9">
        <w:rPr>
          <w:rFonts w:ascii="Times New Roman" w:eastAsia="Times New Roman" w:hAnsi="Times New Roman"/>
          <w:color w:val="000000"/>
          <w:sz w:val="28"/>
          <w:szCs w:val="28"/>
        </w:rPr>
        <w:t xml:space="preserve">collected by them under false pretence and </w:t>
      </w:r>
      <w:r w:rsidR="001A3D7C" w:rsidRPr="009A25D9">
        <w:rPr>
          <w:rFonts w:ascii="Times New Roman" w:eastAsia="Times New Roman" w:hAnsi="Times New Roman"/>
          <w:color w:val="000000"/>
          <w:sz w:val="28"/>
          <w:szCs w:val="28"/>
        </w:rPr>
        <w:t xml:space="preserve">paid to them </w:t>
      </w:r>
      <w:r w:rsidRPr="009A25D9">
        <w:rPr>
          <w:rFonts w:ascii="Times New Roman" w:eastAsia="Times New Roman" w:hAnsi="Times New Roman"/>
          <w:color w:val="000000"/>
          <w:sz w:val="28"/>
          <w:szCs w:val="28"/>
        </w:rPr>
        <w:t>while P</w:t>
      </w:r>
      <w:r w:rsidR="0077065C" w:rsidRPr="009A25D9">
        <w:rPr>
          <w:rFonts w:ascii="Times New Roman" w:eastAsia="Times New Roman" w:hAnsi="Times New Roman"/>
          <w:color w:val="000000"/>
          <w:sz w:val="28"/>
          <w:szCs w:val="28"/>
        </w:rPr>
        <w:t>LAINTIFF</w:t>
      </w:r>
      <w:r w:rsidRPr="009A25D9">
        <w:rPr>
          <w:rFonts w:ascii="Times New Roman" w:eastAsia="Times New Roman" w:hAnsi="Times New Roman"/>
          <w:color w:val="000000"/>
          <w:sz w:val="28"/>
          <w:szCs w:val="28"/>
        </w:rPr>
        <w:t xml:space="preserve"> was </w:t>
      </w:r>
      <w:r w:rsidR="001A3D7C" w:rsidRPr="009A25D9">
        <w:rPr>
          <w:rFonts w:ascii="Times New Roman" w:eastAsia="Times New Roman" w:hAnsi="Times New Roman"/>
          <w:color w:val="000000"/>
          <w:sz w:val="28"/>
          <w:szCs w:val="28"/>
        </w:rPr>
        <w:t xml:space="preserve">under the </w:t>
      </w:r>
      <w:r w:rsidR="006B2712" w:rsidRPr="009A25D9">
        <w:rPr>
          <w:rFonts w:ascii="Times New Roman" w:eastAsia="Times New Roman" w:hAnsi="Times New Roman"/>
          <w:color w:val="000000"/>
          <w:sz w:val="28"/>
          <w:szCs w:val="28"/>
        </w:rPr>
        <w:t xml:space="preserve">induced </w:t>
      </w:r>
      <w:r w:rsidR="001A3D7C" w:rsidRPr="009A25D9">
        <w:rPr>
          <w:rFonts w:ascii="Times New Roman" w:eastAsia="Times New Roman" w:hAnsi="Times New Roman"/>
          <w:color w:val="000000"/>
          <w:sz w:val="28"/>
          <w:szCs w:val="28"/>
        </w:rPr>
        <w:t>assumption that they were indeed the</w:t>
      </w:r>
      <w:r w:rsidRPr="009A25D9">
        <w:rPr>
          <w:rFonts w:ascii="Times New Roman" w:eastAsia="Times New Roman" w:hAnsi="Times New Roman"/>
          <w:color w:val="000000"/>
          <w:sz w:val="28"/>
          <w:szCs w:val="28"/>
        </w:rPr>
        <w:t xml:space="preserve"> </w:t>
      </w:r>
      <w:r w:rsidR="0077065C" w:rsidRPr="009A25D9">
        <w:rPr>
          <w:rFonts w:ascii="Times New Roman" w:eastAsia="Times New Roman" w:hAnsi="Times New Roman"/>
          <w:color w:val="000000"/>
          <w:sz w:val="28"/>
          <w:szCs w:val="28"/>
        </w:rPr>
        <w:t>SECURED CREDITOR</w:t>
      </w:r>
      <w:r w:rsidRPr="009A25D9">
        <w:rPr>
          <w:rFonts w:ascii="Times New Roman" w:eastAsia="Times New Roman" w:hAnsi="Times New Roman"/>
          <w:color w:val="000000"/>
          <w:sz w:val="28"/>
          <w:szCs w:val="28"/>
        </w:rPr>
        <w:t xml:space="preserve"> and holder in due course.</w:t>
      </w:r>
      <w:r w:rsidR="001A3D7C" w:rsidRPr="009A25D9">
        <w:rPr>
          <w:rFonts w:ascii="Times New Roman" w:eastAsia="Times New Roman" w:hAnsi="Times New Roman"/>
          <w:color w:val="000000"/>
          <w:sz w:val="28"/>
          <w:szCs w:val="28"/>
        </w:rPr>
        <w:t xml:space="preserve"> </w:t>
      </w:r>
    </w:p>
    <w:p w:rsidR="00D20438" w:rsidRPr="00D20438" w:rsidRDefault="00D20438"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hAnsi="Times New Roman"/>
          <w:sz w:val="28"/>
          <w:szCs w:val="28"/>
        </w:rPr>
        <w:t xml:space="preserve">Sanctions against the DEFENDANTS for continued egregious violation of GA State and Federal Law </w:t>
      </w:r>
    </w:p>
    <w:p w:rsidR="00D20438" w:rsidRPr="00D20438" w:rsidRDefault="00D20438"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eastAsia="Times New Roman" w:hAnsi="Times New Roman"/>
          <w:color w:val="000000"/>
          <w:sz w:val="28"/>
          <w:szCs w:val="28"/>
        </w:rPr>
        <w:t>Exacting Civil Penalties to discourage continued behavior by DEFENDANTS</w:t>
      </w:r>
    </w:p>
    <w:p w:rsidR="000953DE" w:rsidRPr="000953DE" w:rsidRDefault="00D20438"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Pr>
          <w:rFonts w:ascii="Times New Roman" w:eastAsia="Times New Roman" w:hAnsi="Times New Roman"/>
          <w:color w:val="000000"/>
          <w:sz w:val="28"/>
          <w:szCs w:val="28"/>
        </w:rPr>
        <w:t xml:space="preserve">COMPENSATORY DAMAGES – including all monies paid to the DEFENDANTS, plus interest. Also compensation for slander, case time,  effort </w:t>
      </w:r>
      <w:r w:rsidR="000953DE">
        <w:rPr>
          <w:rFonts w:ascii="Times New Roman" w:eastAsia="Times New Roman" w:hAnsi="Times New Roman"/>
          <w:color w:val="000000"/>
          <w:sz w:val="28"/>
          <w:szCs w:val="28"/>
        </w:rPr>
        <w:t>preparation, lost business, and emotional suffering</w:t>
      </w:r>
    </w:p>
    <w:p w:rsidR="007D5D6D" w:rsidRPr="009A25D9" w:rsidRDefault="007D5D6D" w:rsidP="007D5D6D">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eastAsia="Times New Roman" w:hAnsi="Times New Roman"/>
          <w:color w:val="000000"/>
          <w:sz w:val="28"/>
          <w:szCs w:val="28"/>
        </w:rPr>
        <w:lastRenderedPageBreak/>
        <w:t xml:space="preserve">Granting of </w:t>
      </w:r>
      <w:r w:rsidR="00924C93" w:rsidRPr="009A25D9">
        <w:rPr>
          <w:rFonts w:ascii="Times New Roman" w:eastAsia="Times New Roman" w:hAnsi="Times New Roman"/>
          <w:color w:val="000000"/>
          <w:sz w:val="28"/>
          <w:szCs w:val="28"/>
        </w:rPr>
        <w:t xml:space="preserve">other </w:t>
      </w:r>
      <w:r w:rsidRPr="009A25D9">
        <w:rPr>
          <w:rFonts w:ascii="Times New Roman" w:eastAsia="Times New Roman" w:hAnsi="Times New Roman"/>
          <w:color w:val="000000"/>
          <w:sz w:val="28"/>
          <w:szCs w:val="28"/>
        </w:rPr>
        <w:t xml:space="preserve">relief as deemed appropriate by the COURT </w:t>
      </w:r>
      <w:r w:rsidR="006B2712" w:rsidRPr="009A25D9">
        <w:rPr>
          <w:rFonts w:ascii="Times New Roman" w:eastAsia="Times New Roman" w:hAnsi="Times New Roman"/>
          <w:color w:val="000000"/>
          <w:sz w:val="28"/>
          <w:szCs w:val="28"/>
        </w:rPr>
        <w:t>that takes in</w:t>
      </w:r>
      <w:r w:rsidR="00427BF9" w:rsidRPr="009A25D9">
        <w:rPr>
          <w:rFonts w:ascii="Times New Roman" w:eastAsia="Times New Roman" w:hAnsi="Times New Roman"/>
          <w:color w:val="000000"/>
          <w:sz w:val="28"/>
          <w:szCs w:val="28"/>
        </w:rPr>
        <w:t>to</w:t>
      </w:r>
      <w:r w:rsidR="006B2712" w:rsidRPr="009A25D9">
        <w:rPr>
          <w:rFonts w:ascii="Times New Roman" w:eastAsia="Times New Roman" w:hAnsi="Times New Roman"/>
          <w:color w:val="000000"/>
          <w:sz w:val="28"/>
          <w:szCs w:val="28"/>
        </w:rPr>
        <w:t xml:space="preserve"> consideration damages done to the P</w:t>
      </w:r>
      <w:r w:rsidR="0077065C" w:rsidRPr="009A25D9">
        <w:rPr>
          <w:rFonts w:ascii="Times New Roman" w:eastAsia="Times New Roman" w:hAnsi="Times New Roman"/>
          <w:color w:val="000000"/>
          <w:sz w:val="28"/>
          <w:szCs w:val="28"/>
        </w:rPr>
        <w:t>LAINTIFF</w:t>
      </w:r>
      <w:r w:rsidR="006B2712" w:rsidRPr="009A25D9">
        <w:rPr>
          <w:rFonts w:ascii="Times New Roman" w:eastAsia="Times New Roman" w:hAnsi="Times New Roman"/>
          <w:color w:val="000000"/>
          <w:sz w:val="28"/>
          <w:szCs w:val="28"/>
        </w:rPr>
        <w:t xml:space="preserve"> during the process of pursuing his lawful right to know the </w:t>
      </w:r>
      <w:r w:rsidR="0077065C" w:rsidRPr="009A25D9">
        <w:rPr>
          <w:rFonts w:ascii="Times New Roman" w:eastAsia="Times New Roman" w:hAnsi="Times New Roman"/>
          <w:color w:val="000000"/>
          <w:sz w:val="28"/>
          <w:szCs w:val="28"/>
        </w:rPr>
        <w:t>SECURED CREDITOR</w:t>
      </w:r>
      <w:r w:rsidR="006B2712" w:rsidRPr="009A25D9">
        <w:rPr>
          <w:rFonts w:ascii="Times New Roman" w:eastAsia="Times New Roman" w:hAnsi="Times New Roman"/>
          <w:color w:val="000000"/>
          <w:sz w:val="28"/>
          <w:szCs w:val="28"/>
        </w:rPr>
        <w:t xml:space="preserve"> and holder in due course on SUBJECT PROPERTY</w:t>
      </w:r>
      <w:r w:rsidR="00087CF7" w:rsidRPr="009A25D9">
        <w:rPr>
          <w:rFonts w:ascii="Times New Roman" w:eastAsia="Times New Roman" w:hAnsi="Times New Roman"/>
          <w:color w:val="000000"/>
          <w:sz w:val="28"/>
          <w:szCs w:val="28"/>
        </w:rPr>
        <w:t xml:space="preserve"> (as provided for both by GA Law and Fair Debt Credit Protection Act</w:t>
      </w:r>
      <w:r w:rsidR="0077065C" w:rsidRPr="009A25D9">
        <w:rPr>
          <w:rFonts w:ascii="Times New Roman" w:eastAsia="Times New Roman" w:hAnsi="Times New Roman"/>
          <w:color w:val="000000"/>
          <w:sz w:val="28"/>
          <w:szCs w:val="28"/>
        </w:rPr>
        <w:t>.</w:t>
      </w:r>
      <w:r w:rsidR="00087CF7" w:rsidRPr="009A25D9">
        <w:rPr>
          <w:rFonts w:ascii="Times New Roman" w:eastAsia="Times New Roman" w:hAnsi="Times New Roman"/>
          <w:color w:val="000000"/>
          <w:sz w:val="28"/>
          <w:szCs w:val="28"/>
        </w:rPr>
        <w:t>)</w:t>
      </w:r>
    </w:p>
    <w:p w:rsidR="00025BF4" w:rsidRPr="009A25D9" w:rsidRDefault="00924C93" w:rsidP="00932E32">
      <w:pPr>
        <w:pStyle w:val="ListParagraph"/>
        <w:numPr>
          <w:ilvl w:val="0"/>
          <w:numId w:val="25"/>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rFonts w:ascii="Times New Roman" w:hAnsi="Times New Roman"/>
          <w:sz w:val="28"/>
          <w:szCs w:val="28"/>
        </w:rPr>
      </w:pPr>
      <w:r w:rsidRPr="009A25D9">
        <w:rPr>
          <w:rFonts w:ascii="Times New Roman" w:eastAsia="Times New Roman" w:hAnsi="Times New Roman"/>
          <w:color w:val="000000"/>
          <w:sz w:val="28"/>
          <w:szCs w:val="28"/>
        </w:rPr>
        <w:t xml:space="preserve">If the </w:t>
      </w:r>
      <w:r w:rsidR="00025BF4" w:rsidRPr="009A25D9">
        <w:rPr>
          <w:rFonts w:ascii="Times New Roman" w:eastAsia="Times New Roman" w:hAnsi="Times New Roman"/>
          <w:color w:val="000000"/>
          <w:sz w:val="28"/>
          <w:szCs w:val="28"/>
        </w:rPr>
        <w:t xml:space="preserve">Court deems it </w:t>
      </w:r>
      <w:r w:rsidR="00427BF9" w:rsidRPr="009A25D9">
        <w:rPr>
          <w:rFonts w:ascii="Times New Roman" w:eastAsia="Times New Roman" w:hAnsi="Times New Roman"/>
          <w:color w:val="000000"/>
          <w:sz w:val="28"/>
          <w:szCs w:val="28"/>
        </w:rPr>
        <w:t xml:space="preserve">INAPPROPRIATE </w:t>
      </w:r>
      <w:r w:rsidR="00025BF4" w:rsidRPr="009A25D9">
        <w:rPr>
          <w:rFonts w:ascii="Times New Roman" w:eastAsia="Times New Roman" w:hAnsi="Times New Roman"/>
          <w:color w:val="000000"/>
          <w:sz w:val="28"/>
          <w:szCs w:val="28"/>
        </w:rPr>
        <w:t>to grant the aforementioned, Plaintiff believes it within his right and respectfully as</w:t>
      </w:r>
      <w:r w:rsidR="006B2712" w:rsidRPr="009A25D9">
        <w:rPr>
          <w:rFonts w:ascii="Times New Roman" w:eastAsia="Times New Roman" w:hAnsi="Times New Roman"/>
          <w:color w:val="000000"/>
          <w:sz w:val="28"/>
          <w:szCs w:val="28"/>
        </w:rPr>
        <w:t>ks</w:t>
      </w:r>
      <w:r w:rsidR="00025BF4" w:rsidRPr="009A25D9">
        <w:rPr>
          <w:rFonts w:ascii="Times New Roman" w:eastAsia="Times New Roman" w:hAnsi="Times New Roman"/>
          <w:color w:val="000000"/>
          <w:sz w:val="28"/>
          <w:szCs w:val="28"/>
        </w:rPr>
        <w:t xml:space="preserve"> the court to accept our AMENDED COMPLAINT and reset the discovery calendar (four months) to begin in </w:t>
      </w:r>
      <w:r w:rsidR="000953DE">
        <w:rPr>
          <w:rFonts w:ascii="Times New Roman" w:eastAsia="Times New Roman" w:hAnsi="Times New Roman"/>
          <w:color w:val="000000"/>
          <w:sz w:val="28"/>
          <w:szCs w:val="28"/>
        </w:rPr>
        <w:t>February</w:t>
      </w:r>
      <w:r w:rsidR="006B2712" w:rsidRPr="009A25D9">
        <w:rPr>
          <w:rFonts w:ascii="Times New Roman" w:eastAsia="Times New Roman" w:hAnsi="Times New Roman"/>
          <w:color w:val="000000"/>
          <w:sz w:val="28"/>
          <w:szCs w:val="28"/>
        </w:rPr>
        <w:t>, 2010</w:t>
      </w:r>
      <w:r w:rsidR="00025BF4" w:rsidRPr="009A25D9">
        <w:rPr>
          <w:rFonts w:ascii="Times New Roman" w:eastAsia="Times New Roman" w:hAnsi="Times New Roman"/>
          <w:color w:val="000000"/>
          <w:sz w:val="28"/>
          <w:szCs w:val="28"/>
        </w:rPr>
        <w:t xml:space="preserve"> </w:t>
      </w:r>
      <w:r w:rsidR="00427BF9" w:rsidRPr="009A25D9">
        <w:rPr>
          <w:rFonts w:ascii="Times New Roman" w:eastAsia="Times New Roman" w:hAnsi="Times New Roman"/>
          <w:color w:val="000000"/>
          <w:sz w:val="28"/>
          <w:szCs w:val="28"/>
        </w:rPr>
        <w:t>OR</w:t>
      </w:r>
      <w:r w:rsidR="00025BF4" w:rsidRPr="009A25D9">
        <w:rPr>
          <w:rFonts w:ascii="Times New Roman" w:eastAsia="Times New Roman" w:hAnsi="Times New Roman"/>
          <w:color w:val="000000"/>
          <w:sz w:val="28"/>
          <w:szCs w:val="28"/>
        </w:rPr>
        <w:t xml:space="preserve"> when the </w:t>
      </w:r>
      <w:r w:rsidR="000953DE">
        <w:rPr>
          <w:rFonts w:ascii="Times New Roman" w:eastAsia="Times New Roman" w:hAnsi="Times New Roman"/>
          <w:color w:val="000000"/>
          <w:sz w:val="28"/>
          <w:szCs w:val="28"/>
        </w:rPr>
        <w:t xml:space="preserve">Plaintiff’s </w:t>
      </w:r>
      <w:r w:rsidR="00025BF4" w:rsidRPr="009A25D9">
        <w:rPr>
          <w:rFonts w:ascii="Times New Roman" w:eastAsia="Times New Roman" w:hAnsi="Times New Roman"/>
          <w:color w:val="000000"/>
          <w:sz w:val="28"/>
          <w:szCs w:val="28"/>
        </w:rPr>
        <w:t xml:space="preserve">Amended Complaint is accepted.  </w:t>
      </w:r>
    </w:p>
    <w:p w:rsidR="00025BF4" w:rsidRPr="009A25D9" w:rsidRDefault="00025BF4" w:rsidP="00025BF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720" w:right="-576"/>
        <w:rPr>
          <w:rFonts w:ascii="Times New Roman" w:hAnsi="Times New Roman"/>
          <w:sz w:val="28"/>
          <w:szCs w:val="28"/>
        </w:rPr>
      </w:pPr>
    </w:p>
    <w:p w:rsidR="00064CC0" w:rsidRPr="009A25D9" w:rsidRDefault="00064CC0" w:rsidP="00025BF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720" w:right="-576"/>
        <w:rPr>
          <w:rFonts w:ascii="Times New Roman" w:hAnsi="Times New Roman"/>
          <w:sz w:val="28"/>
          <w:szCs w:val="28"/>
        </w:rPr>
      </w:pPr>
    </w:p>
    <w:p w:rsidR="002D0354" w:rsidRPr="009A25D9" w:rsidRDefault="002D0354" w:rsidP="00025BF4">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720" w:right="-576"/>
        <w:rPr>
          <w:rFonts w:ascii="Times New Roman" w:hAnsi="Times New Roman"/>
          <w:sz w:val="28"/>
          <w:szCs w:val="28"/>
        </w:rPr>
      </w:pPr>
      <w:r w:rsidRPr="009A25D9">
        <w:rPr>
          <w:rFonts w:ascii="Times New Roman" w:hAnsi="Times New Roman"/>
          <w:sz w:val="28"/>
          <w:szCs w:val="28"/>
        </w:rPr>
        <w:t>Submitted this __________ day of ________, 2010</w:t>
      </w:r>
    </w:p>
    <w:p w:rsidR="002D0354" w:rsidRPr="009A25D9"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t xml:space="preserve">      </w:t>
      </w:r>
      <w:r w:rsidRPr="009A25D9">
        <w:rPr>
          <w:rFonts w:ascii="Times New Roman" w:hAnsi="Times New Roman"/>
          <w:sz w:val="28"/>
          <w:szCs w:val="28"/>
        </w:rPr>
        <w:tab/>
        <w:t xml:space="preserve">         __________________________</w:t>
      </w:r>
    </w:p>
    <w:p w:rsidR="002D0354" w:rsidRPr="009A25D9" w:rsidRDefault="002D0354"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sidRPr="009A25D9">
        <w:rPr>
          <w:rFonts w:ascii="Times New Roman" w:hAnsi="Times New Roman"/>
          <w:sz w:val="28"/>
          <w:szCs w:val="28"/>
        </w:rPr>
        <w:t>Wekesa O. Madzimoyo</w:t>
      </w:r>
    </w:p>
    <w:p w:rsidR="00BC63D1" w:rsidRPr="009A25D9"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t xml:space="preserve">   Pro See Litigant</w:t>
      </w:r>
    </w:p>
    <w:p w:rsidR="002D0354" w:rsidRPr="009A25D9" w:rsidRDefault="00BC63D1"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p>
    <w:p w:rsidR="009A1114" w:rsidRPr="009A25D9"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sidRPr="009A25D9">
        <w:rPr>
          <w:rFonts w:ascii="Times New Roman" w:hAnsi="Times New Roman"/>
          <w:sz w:val="28"/>
          <w:szCs w:val="28"/>
        </w:rPr>
        <w:t>852 Brafferton Place</w:t>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p>
    <w:p w:rsidR="009A1114" w:rsidRPr="009A25D9"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sidRPr="009A25D9">
        <w:rPr>
          <w:rFonts w:ascii="Times New Roman" w:hAnsi="Times New Roman"/>
          <w:sz w:val="28"/>
          <w:szCs w:val="28"/>
        </w:rPr>
        <w:t>Stone Mountain, GA 30083</w:t>
      </w:r>
    </w:p>
    <w:p w:rsidR="009A1114" w:rsidRPr="009A25D9"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sidRPr="009A25D9">
        <w:rPr>
          <w:rFonts w:ascii="Times New Roman" w:hAnsi="Times New Roman"/>
          <w:sz w:val="28"/>
          <w:szCs w:val="28"/>
        </w:rPr>
        <w:t>404-324-1310</w:t>
      </w:r>
    </w:p>
    <w:p w:rsidR="009A1114" w:rsidRPr="009A25D9"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364244" w:rsidRPr="009A25D9" w:rsidRDefault="009A1114" w:rsidP="00064CC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b/>
          <w:sz w:val="28"/>
          <w:szCs w:val="28"/>
          <w:u w:val="single"/>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00014250" w:rsidRPr="009A25D9">
        <w:rPr>
          <w:rFonts w:ascii="Times New Roman" w:hAnsi="Times New Roman"/>
          <w:b/>
          <w:sz w:val="28"/>
          <w:szCs w:val="28"/>
          <w:u w:val="single"/>
        </w:rPr>
        <w:t>FONT VERIFICATION</w:t>
      </w:r>
    </w:p>
    <w:p w:rsidR="00014250" w:rsidRPr="009A25D9"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r w:rsidRPr="009A25D9">
        <w:rPr>
          <w:rFonts w:ascii="Times New Roman" w:hAnsi="Times New Roman"/>
          <w:sz w:val="28"/>
          <w:szCs w:val="28"/>
        </w:rPr>
        <w:lastRenderedPageBreak/>
        <w:t>Pro se Litigant, Wekesa Madzimoyo, certifies that this document has been prepared with one of the font and point selections approved by the Court in Local Rule 5.1C, namely Times New Roman (14 point).</w:t>
      </w:r>
    </w:p>
    <w:p w:rsidR="00014250" w:rsidRPr="009A25D9"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Pr="009A25D9"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Pr="009A25D9"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sz w:val="28"/>
          <w:szCs w:val="28"/>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t>_______________________</w:t>
      </w:r>
    </w:p>
    <w:p w:rsidR="007B4C18" w:rsidRPr="009A25D9"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t>Wekesa O. Madzimoyo</w:t>
      </w:r>
    </w:p>
    <w:p w:rsidR="00014250" w:rsidRPr="009A25D9"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r>
      <w:r w:rsidRPr="009A25D9">
        <w:rPr>
          <w:rFonts w:ascii="Times New Roman" w:hAnsi="Times New Roman"/>
          <w:sz w:val="28"/>
          <w:szCs w:val="28"/>
        </w:rPr>
        <w:tab/>
        <w:t>Pro se Litigant</w:t>
      </w:r>
    </w:p>
    <w:p w:rsidR="00F76625" w:rsidRPr="009A25D9"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F76625" w:rsidRPr="009A25D9"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r w:rsidRPr="009A25D9">
        <w:rPr>
          <w:rFonts w:ascii="Times New Roman" w:hAnsi="Times New Roman"/>
          <w:sz w:val="28"/>
          <w:szCs w:val="28"/>
        </w:rPr>
        <w:tab/>
      </w:r>
    </w:p>
    <w:p w:rsidR="00064CC0" w:rsidRPr="009A25D9" w:rsidRDefault="00064CC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064CC0" w:rsidRPr="009A25D9" w:rsidRDefault="00064CC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064CC0" w:rsidRPr="009A25D9" w:rsidRDefault="00064CC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064CC0" w:rsidRPr="009A25D9" w:rsidRDefault="00064CC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064CC0" w:rsidRPr="009A25D9" w:rsidRDefault="00064CC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064CC0" w:rsidRPr="009A25D9" w:rsidRDefault="00064CC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014250" w:rsidRPr="009A25D9" w:rsidRDefault="00014250" w:rsidP="00014250">
      <w:pPr>
        <w:spacing w:line="480" w:lineRule="auto"/>
        <w:jc w:val="center"/>
        <w:rPr>
          <w:rFonts w:ascii="Times New Roman" w:hAnsi="Times New Roman"/>
          <w:b/>
          <w:sz w:val="28"/>
          <w:szCs w:val="28"/>
          <w:u w:val="single"/>
        </w:rPr>
      </w:pPr>
      <w:r w:rsidRPr="009A25D9">
        <w:rPr>
          <w:rFonts w:ascii="Times New Roman" w:hAnsi="Times New Roman"/>
          <w:b/>
          <w:sz w:val="28"/>
          <w:szCs w:val="28"/>
          <w:u w:val="single"/>
        </w:rPr>
        <w:t>CERTIFICATE OF SERVICE</w:t>
      </w:r>
    </w:p>
    <w:p w:rsidR="00014250" w:rsidRPr="009A25D9" w:rsidRDefault="001C3FF2" w:rsidP="00932E32">
      <w:pPr>
        <w:spacing w:line="480" w:lineRule="auto"/>
        <w:rPr>
          <w:rFonts w:ascii="Times New Roman" w:hAnsi="Times New Roman"/>
          <w:sz w:val="28"/>
          <w:szCs w:val="28"/>
        </w:rPr>
      </w:pPr>
      <w:r w:rsidRPr="009A25D9">
        <w:rPr>
          <w:rFonts w:ascii="Times New Roman" w:hAnsi="Times New Roman"/>
          <w:noProof/>
          <w:sz w:val="28"/>
          <w:szCs w:val="28"/>
          <w:u w:val="single"/>
          <w:lang w:eastAsia="zh-TW"/>
        </w:rPr>
        <w:pict>
          <v:shape id="_x0000_s1030" type="#_x0000_t202" style="position:absolute;margin-left:4.7pt;margin-top:107.8pt;width:186.35pt;height:116.95pt;z-index:251658752;mso-width-percent:400;mso-height-percent:200;mso-width-percent:400;mso-height-percent:200;mso-width-relative:margin;mso-height-relative:margin">
            <v:textbox style="mso-fit-shape-to-text:t">
              <w:txbxContent>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Frank R. Olson, Esq.</w:t>
                  </w:r>
                </w:p>
                <w:p w:rsidR="00B74AE3" w:rsidRDefault="00B74AE3" w:rsidP="00014250">
                  <w:pPr>
                    <w:spacing w:line="240" w:lineRule="auto"/>
                    <w:contextualSpacing/>
                    <w:rPr>
                      <w:rFonts w:ascii="Times New Roman" w:hAnsi="Times New Roman"/>
                      <w:sz w:val="28"/>
                      <w:szCs w:val="28"/>
                    </w:rPr>
                  </w:pP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McCurdy &amp; Candler, LLC</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P.O. Box 57</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Decatur, GA 30031</w:t>
                  </w:r>
                </w:p>
                <w:p w:rsidR="00B74AE3" w:rsidRPr="009A1114" w:rsidRDefault="00B74AE3">
                  <w:pPr>
                    <w:rPr>
                      <w:rFonts w:ascii="Times New Roman" w:hAnsi="Times New Roman"/>
                      <w:sz w:val="28"/>
                      <w:szCs w:val="28"/>
                    </w:rPr>
                  </w:pPr>
                  <w:r w:rsidRPr="009A1114">
                    <w:rPr>
                      <w:rFonts w:ascii="Times New Roman" w:hAnsi="Times New Roman"/>
                      <w:sz w:val="28"/>
                      <w:szCs w:val="28"/>
                    </w:rPr>
                    <w:t>404-373-1612</w:t>
                  </w:r>
                </w:p>
              </w:txbxContent>
            </v:textbox>
          </v:shape>
        </w:pict>
      </w:r>
      <w:r w:rsidR="00014250" w:rsidRPr="009A25D9">
        <w:rPr>
          <w:rFonts w:ascii="Times New Roman" w:hAnsi="Times New Roman"/>
          <w:sz w:val="28"/>
          <w:szCs w:val="28"/>
        </w:rPr>
        <w:tab/>
        <w:t>I hereby certify that I have served the foregoing on the following by electronic mail or by placing a copy of the same in the United States mail, postage prepaid and properly addressed, this the 26</w:t>
      </w:r>
      <w:r w:rsidR="00014250" w:rsidRPr="009A25D9">
        <w:rPr>
          <w:rFonts w:ascii="Times New Roman" w:hAnsi="Times New Roman"/>
          <w:sz w:val="28"/>
          <w:szCs w:val="28"/>
          <w:vertAlign w:val="superscript"/>
        </w:rPr>
        <w:t>th</w:t>
      </w:r>
      <w:r w:rsidR="00014250" w:rsidRPr="009A25D9">
        <w:rPr>
          <w:rFonts w:ascii="Times New Roman" w:hAnsi="Times New Roman"/>
          <w:sz w:val="28"/>
          <w:szCs w:val="28"/>
        </w:rPr>
        <w:t xml:space="preserve"> day of October, 2010 to:</w:t>
      </w:r>
    </w:p>
    <w:p w:rsidR="00014250" w:rsidRPr="009A25D9" w:rsidRDefault="001C3FF2" w:rsidP="00932E32">
      <w:pPr>
        <w:spacing w:line="480" w:lineRule="auto"/>
        <w:rPr>
          <w:rFonts w:ascii="Times New Roman" w:hAnsi="Times New Roman"/>
          <w:sz w:val="28"/>
          <w:szCs w:val="28"/>
        </w:rPr>
      </w:pPr>
      <w:r w:rsidRPr="009A25D9">
        <w:rPr>
          <w:rFonts w:ascii="Times New Roman" w:hAnsi="Times New Roman"/>
          <w:noProof/>
          <w:sz w:val="28"/>
          <w:szCs w:val="28"/>
          <w:lang w:eastAsia="zh-TW"/>
        </w:rPr>
        <w:pict>
          <v:shape id="_x0000_s1031" type="#_x0000_t202" style="position:absolute;margin-left:221.05pt;margin-top:-.35pt;width:186.35pt;height:227.25pt;z-index:251659776;mso-width-percent:400;mso-height-percent:200;mso-width-percent:400;mso-height-percent:200;mso-width-relative:margin;mso-height-relative:margin">
            <v:textbox style="mso-fit-shape-to-text:t">
              <w:txbxContent>
                <w:p w:rsidR="00B74AE3" w:rsidRDefault="00B74AE3" w:rsidP="00014250">
                  <w:pPr>
                    <w:spacing w:line="240" w:lineRule="auto"/>
                    <w:contextualSpacing/>
                    <w:rPr>
                      <w:rFonts w:ascii="Times New Roman" w:hAnsi="Times New Roman"/>
                      <w:sz w:val="28"/>
                      <w:szCs w:val="28"/>
                    </w:rPr>
                  </w:pPr>
                  <w:r w:rsidRPr="00014250">
                    <w:rPr>
                      <w:rFonts w:ascii="Times New Roman" w:hAnsi="Times New Roman"/>
                      <w:sz w:val="28"/>
                      <w:szCs w:val="28"/>
                    </w:rPr>
                    <w:t>Kelly L. Atkinson</w:t>
                  </w:r>
                </w:p>
                <w:p w:rsidR="00B74AE3" w:rsidRPr="00014250" w:rsidRDefault="00B74AE3" w:rsidP="00014250">
                  <w:pPr>
                    <w:spacing w:line="240" w:lineRule="auto"/>
                    <w:contextualSpacing/>
                    <w:rPr>
                      <w:rFonts w:ascii="Times New Roman" w:hAnsi="Times New Roman"/>
                      <w:sz w:val="28"/>
                      <w:szCs w:val="28"/>
                    </w:rPr>
                  </w:pPr>
                  <w:r>
                    <w:rPr>
                      <w:rFonts w:ascii="Times New Roman" w:hAnsi="Times New Roman"/>
                      <w:sz w:val="28"/>
                      <w:szCs w:val="28"/>
                    </w:rPr>
                    <w:t>Counsel for Defendants</w:t>
                  </w:r>
                </w:p>
                <w:p w:rsidR="00B74AE3" w:rsidRDefault="00B74AE3" w:rsidP="00014250">
                  <w:pPr>
                    <w:spacing w:line="240" w:lineRule="auto"/>
                    <w:contextualSpacing/>
                    <w:rPr>
                      <w:rFonts w:ascii="Times New Roman" w:hAnsi="Times New Roman"/>
                      <w:sz w:val="28"/>
                      <w:szCs w:val="28"/>
                    </w:rPr>
                  </w:pPr>
                  <w:r w:rsidRPr="00014250">
                    <w:rPr>
                      <w:rFonts w:ascii="Times New Roman" w:hAnsi="Times New Roman"/>
                      <w:sz w:val="28"/>
                      <w:szCs w:val="28"/>
                    </w:rPr>
                    <w:t xml:space="preserve">GMAC </w:t>
                  </w:r>
                  <w:r>
                    <w:rPr>
                      <w:rFonts w:ascii="Times New Roman" w:hAnsi="Times New Roman"/>
                      <w:sz w:val="28"/>
                      <w:szCs w:val="28"/>
                    </w:rPr>
                    <w:t>Mortgage LLC</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JP Morgan Chase Bank</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The Bank of New York Mellon Trust Company</w:t>
                  </w:r>
                </w:p>
                <w:p w:rsidR="00B74AE3" w:rsidRDefault="00B74AE3" w:rsidP="00014250">
                  <w:pPr>
                    <w:spacing w:line="240" w:lineRule="auto"/>
                    <w:contextualSpacing/>
                    <w:rPr>
                      <w:rFonts w:ascii="Times New Roman" w:hAnsi="Times New Roman"/>
                      <w:sz w:val="28"/>
                      <w:szCs w:val="28"/>
                    </w:rPr>
                  </w:pP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Troutman Sanders LLP</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5200 Bank of America Plaza</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600 Peachtree Street, N.E,</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Atlanta, GA 30308-2216</w:t>
                  </w:r>
                </w:p>
                <w:p w:rsidR="00B74AE3" w:rsidRDefault="00B74AE3" w:rsidP="00014250">
                  <w:pPr>
                    <w:spacing w:line="240" w:lineRule="auto"/>
                    <w:contextualSpacing/>
                    <w:rPr>
                      <w:rFonts w:ascii="Times New Roman" w:hAnsi="Times New Roman"/>
                      <w:sz w:val="28"/>
                      <w:szCs w:val="28"/>
                    </w:rPr>
                  </w:pPr>
                  <w:r>
                    <w:rPr>
                      <w:rFonts w:ascii="Times New Roman" w:hAnsi="Times New Roman"/>
                      <w:sz w:val="28"/>
                      <w:szCs w:val="28"/>
                    </w:rPr>
                    <w:t>404-885-3000</w:t>
                  </w:r>
                </w:p>
                <w:p w:rsidR="00B74AE3" w:rsidRPr="00014250" w:rsidRDefault="00B74AE3" w:rsidP="00014250">
                  <w:pPr>
                    <w:spacing w:line="240" w:lineRule="auto"/>
                    <w:contextualSpacing/>
                    <w:rPr>
                      <w:rFonts w:ascii="Times New Roman" w:hAnsi="Times New Roman"/>
                      <w:sz w:val="28"/>
                      <w:szCs w:val="28"/>
                    </w:rPr>
                  </w:pPr>
                </w:p>
              </w:txbxContent>
            </v:textbox>
          </v:shape>
        </w:pict>
      </w:r>
    </w:p>
    <w:p w:rsidR="00014250" w:rsidRPr="009A25D9" w:rsidRDefault="00014250" w:rsidP="00932E32">
      <w:pPr>
        <w:spacing w:line="480" w:lineRule="auto"/>
        <w:rPr>
          <w:rFonts w:ascii="Times New Roman" w:hAnsi="Times New Roman"/>
          <w:sz w:val="28"/>
          <w:szCs w:val="28"/>
        </w:rPr>
      </w:pPr>
    </w:p>
    <w:p w:rsidR="00014250" w:rsidRPr="009A25D9" w:rsidRDefault="00014250" w:rsidP="00932E32">
      <w:pPr>
        <w:spacing w:line="480" w:lineRule="auto"/>
        <w:rPr>
          <w:rFonts w:ascii="Times New Roman" w:hAnsi="Times New Roman"/>
          <w:sz w:val="28"/>
          <w:szCs w:val="28"/>
        </w:rPr>
      </w:pPr>
    </w:p>
    <w:p w:rsidR="00014250" w:rsidRPr="009A25D9" w:rsidRDefault="00014250" w:rsidP="00932E32">
      <w:pPr>
        <w:spacing w:line="480" w:lineRule="auto"/>
        <w:rPr>
          <w:rFonts w:ascii="Times New Roman" w:hAnsi="Times New Roman"/>
          <w:sz w:val="28"/>
          <w:szCs w:val="28"/>
        </w:rPr>
      </w:pPr>
    </w:p>
    <w:p w:rsidR="00014250" w:rsidRPr="009A25D9" w:rsidRDefault="00014250" w:rsidP="00932E32">
      <w:pPr>
        <w:spacing w:line="480" w:lineRule="auto"/>
        <w:rPr>
          <w:rFonts w:ascii="Times New Roman" w:hAnsi="Times New Roman"/>
          <w:sz w:val="28"/>
          <w:szCs w:val="28"/>
        </w:rPr>
      </w:pPr>
    </w:p>
    <w:p w:rsidR="00014250" w:rsidRPr="009A25D9" w:rsidRDefault="00014250" w:rsidP="00932E32">
      <w:pPr>
        <w:spacing w:line="480" w:lineRule="auto"/>
        <w:rPr>
          <w:rFonts w:ascii="Times New Roman" w:hAnsi="Times New Roman"/>
          <w:sz w:val="28"/>
          <w:szCs w:val="28"/>
        </w:rPr>
      </w:pPr>
    </w:p>
    <w:p w:rsidR="00014250" w:rsidRPr="009A25D9" w:rsidRDefault="00014250" w:rsidP="00932E32">
      <w:pPr>
        <w:spacing w:line="480" w:lineRule="auto"/>
        <w:rPr>
          <w:rFonts w:ascii="Times New Roman" w:hAnsi="Times New Roman"/>
          <w:sz w:val="28"/>
          <w:szCs w:val="28"/>
        </w:rPr>
      </w:pPr>
    </w:p>
    <w:p w:rsidR="00014250" w:rsidRPr="009A25D9" w:rsidRDefault="00014250" w:rsidP="00932E32">
      <w:pPr>
        <w:spacing w:line="480" w:lineRule="auto"/>
        <w:rPr>
          <w:rFonts w:ascii="Times New Roman" w:hAnsi="Times New Roman"/>
          <w:sz w:val="28"/>
          <w:szCs w:val="28"/>
        </w:rPr>
      </w:pPr>
    </w:p>
    <w:sectPr w:rsidR="00014250" w:rsidRPr="009A25D9" w:rsidSect="00205E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E47" w:rsidRPr="00CF09B6" w:rsidRDefault="005E6E47" w:rsidP="00CF09B6">
      <w:pPr>
        <w:pStyle w:val="BalloonText"/>
        <w:rPr>
          <w:rFonts w:ascii="Calibri" w:hAnsi="Calibri" w:cs="Times New Roman"/>
          <w:sz w:val="22"/>
          <w:szCs w:val="22"/>
        </w:rPr>
      </w:pPr>
      <w:r>
        <w:separator/>
      </w:r>
    </w:p>
  </w:endnote>
  <w:endnote w:type="continuationSeparator" w:id="0">
    <w:p w:rsidR="005E6E47" w:rsidRPr="00CF09B6" w:rsidRDefault="005E6E47" w:rsidP="00CF09B6">
      <w:pPr>
        <w:pStyle w:val="BalloonText"/>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82361"/>
      <w:docPartObj>
        <w:docPartGallery w:val="Page Numbers (Bottom of Page)"/>
        <w:docPartUnique/>
      </w:docPartObj>
    </w:sdtPr>
    <w:sdtContent>
      <w:p w:rsidR="00B74AE3" w:rsidRDefault="00B74AE3">
        <w:pPr>
          <w:pStyle w:val="Footer"/>
          <w:jc w:val="center"/>
        </w:pPr>
        <w:fldSimple w:instr=" PAGE   \* MERGEFORMAT ">
          <w:r w:rsidR="000E3A6D">
            <w:rPr>
              <w:noProof/>
            </w:rPr>
            <w:t>17</w:t>
          </w:r>
        </w:fldSimple>
      </w:p>
    </w:sdtContent>
  </w:sdt>
  <w:p w:rsidR="00B74AE3" w:rsidRDefault="00B74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E47" w:rsidRPr="00CF09B6" w:rsidRDefault="005E6E47" w:rsidP="00CF09B6">
      <w:pPr>
        <w:pStyle w:val="BalloonText"/>
        <w:rPr>
          <w:rFonts w:ascii="Calibri" w:hAnsi="Calibri" w:cs="Times New Roman"/>
          <w:sz w:val="22"/>
          <w:szCs w:val="22"/>
        </w:rPr>
      </w:pPr>
      <w:r>
        <w:separator/>
      </w:r>
    </w:p>
  </w:footnote>
  <w:footnote w:type="continuationSeparator" w:id="0">
    <w:p w:rsidR="005E6E47" w:rsidRPr="00CF09B6" w:rsidRDefault="005E6E47" w:rsidP="00CF09B6">
      <w:pPr>
        <w:pStyle w:val="BalloonText"/>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62A"/>
    <w:multiLevelType w:val="hybridMultilevel"/>
    <w:tmpl w:val="5B36A17A"/>
    <w:lvl w:ilvl="0" w:tplc="0409000F">
      <w:start w:val="1"/>
      <w:numFmt w:val="decimal"/>
      <w:lvlText w:val="%1."/>
      <w:lvlJc w:val="left"/>
      <w:pPr>
        <w:ind w:left="720" w:hanging="360"/>
      </w:pPr>
    </w:lvl>
    <w:lvl w:ilvl="1" w:tplc="6B2A85E6">
      <w:start w:val="1"/>
      <w:numFmt w:val="lowerLetter"/>
      <w:lvlText w:val="%2."/>
      <w:lvlJc w:val="left"/>
      <w:pPr>
        <w:ind w:left="1440" w:hanging="360"/>
      </w:pPr>
      <w:rPr>
        <w:sz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E6856DE"/>
    <w:multiLevelType w:val="hybridMultilevel"/>
    <w:tmpl w:val="B870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26904"/>
    <w:multiLevelType w:val="hybridMultilevel"/>
    <w:tmpl w:val="A5703C86"/>
    <w:lvl w:ilvl="0" w:tplc="0409000F">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2435ADE"/>
    <w:multiLevelType w:val="hybridMultilevel"/>
    <w:tmpl w:val="79541626"/>
    <w:lvl w:ilvl="0" w:tplc="77A2EC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17E23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2A649C"/>
    <w:multiLevelType w:val="hybridMultilevel"/>
    <w:tmpl w:val="E67CA4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95355D7"/>
    <w:multiLevelType w:val="hybridMultilevel"/>
    <w:tmpl w:val="05666B3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3EA044E"/>
    <w:multiLevelType w:val="hybridMultilevel"/>
    <w:tmpl w:val="BF640902"/>
    <w:lvl w:ilvl="0" w:tplc="77A2E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69773E"/>
    <w:multiLevelType w:val="hybridMultilevel"/>
    <w:tmpl w:val="AFC22000"/>
    <w:lvl w:ilvl="0" w:tplc="F12CB060">
      <w:start w:val="1"/>
      <w:numFmt w:val="lowerLetter"/>
      <w:lvlText w:val="%1."/>
      <w:lvlJc w:val="left"/>
      <w:pPr>
        <w:ind w:left="1890" w:hanging="360"/>
      </w:pPr>
      <w:rPr>
        <w:rFonts w:ascii="Times New Roman" w:eastAsia="Calibri" w:hAnsi="Times New Roman" w:cs="Times New Roman"/>
        <w:b/>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5F7C5A5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612509D7"/>
    <w:multiLevelType w:val="hybridMultilevel"/>
    <w:tmpl w:val="AAD66350"/>
    <w:lvl w:ilvl="0" w:tplc="FB0E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E0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8624F5"/>
    <w:multiLevelType w:val="hybridMultilevel"/>
    <w:tmpl w:val="220CA84A"/>
    <w:lvl w:ilvl="0" w:tplc="77A2EC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06C4F"/>
    <w:multiLevelType w:val="hybridMultilevel"/>
    <w:tmpl w:val="B72200F2"/>
    <w:lvl w:ilvl="0" w:tplc="77A2ECD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486DC8"/>
    <w:multiLevelType w:val="hybridMultilevel"/>
    <w:tmpl w:val="0094753C"/>
    <w:lvl w:ilvl="0" w:tplc="587CF964">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2B85B0A"/>
    <w:multiLevelType w:val="hybridMultilevel"/>
    <w:tmpl w:val="CBB69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F0983"/>
    <w:multiLevelType w:val="multilevel"/>
    <w:tmpl w:val="D7C088D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7703724E"/>
    <w:multiLevelType w:val="hybridMultilevel"/>
    <w:tmpl w:val="2D2C66A0"/>
    <w:lvl w:ilvl="0" w:tplc="04090019">
      <w:start w:val="1"/>
      <w:numFmt w:val="lowerLetter"/>
      <w:lvlText w:val="%1."/>
      <w:lvlJc w:val="left"/>
      <w:pPr>
        <w:ind w:left="1080" w:hanging="360"/>
      </w:pPr>
      <w:rPr>
        <w:rFonts w:hint="default"/>
        <w:b w:val="0"/>
      </w:rPr>
    </w:lvl>
    <w:lvl w:ilvl="1" w:tplc="455A1C96">
      <w:start w:val="1"/>
      <w:numFmt w:val="lowerLetter"/>
      <w:lvlText w:val="%2."/>
      <w:lvlJc w:val="left"/>
      <w:pPr>
        <w:ind w:left="36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C87E45"/>
    <w:multiLevelType w:val="hybridMultilevel"/>
    <w:tmpl w:val="07D6E4C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B751BAE"/>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5">
    <w:nsid w:val="7B820B9A"/>
    <w:multiLevelType w:val="hybridMultilevel"/>
    <w:tmpl w:val="AB50C41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10"/>
  </w:num>
  <w:num w:numId="4">
    <w:abstractNumId w:val="1"/>
  </w:num>
  <w:num w:numId="5">
    <w:abstractNumId w:val="22"/>
  </w:num>
  <w:num w:numId="6">
    <w:abstractNumId w:val="7"/>
  </w:num>
  <w:num w:numId="7">
    <w:abstractNumId w:val="11"/>
  </w:num>
  <w:num w:numId="8">
    <w:abstractNumId w:val="8"/>
  </w:num>
  <w:num w:numId="9">
    <w:abstractNumId w:val="21"/>
  </w:num>
  <w:num w:numId="10">
    <w:abstractNumId w:val="3"/>
  </w:num>
  <w:num w:numId="11">
    <w:abstractNumId w:val="19"/>
  </w:num>
  <w:num w:numId="12">
    <w:abstractNumId w:val="23"/>
  </w:num>
  <w:num w:numId="13">
    <w:abstractNumId w:val="25"/>
  </w:num>
  <w:num w:numId="14">
    <w:abstractNumId w:val="9"/>
  </w:num>
  <w:num w:numId="15">
    <w:abstractNumId w:val="13"/>
  </w:num>
  <w:num w:numId="16">
    <w:abstractNumId w:val="16"/>
  </w:num>
  <w:num w:numId="17">
    <w:abstractNumId w:val="14"/>
  </w:num>
  <w:num w:numId="18">
    <w:abstractNumId w:val="24"/>
  </w:num>
  <w:num w:numId="19">
    <w:abstractNumId w:val="12"/>
  </w:num>
  <w:num w:numId="20">
    <w:abstractNumId w:val="18"/>
  </w:num>
  <w:num w:numId="21">
    <w:abstractNumId w:val="17"/>
  </w:num>
  <w:num w:numId="22">
    <w:abstractNumId w:val="4"/>
  </w:num>
  <w:num w:numId="23">
    <w:abstractNumId w:val="0"/>
  </w:num>
  <w:num w:numId="24">
    <w:abstractNumId w:val="2"/>
  </w:num>
  <w:num w:numId="25">
    <w:abstractNumId w:val="15"/>
  </w:num>
  <w:num w:numId="26">
    <w:abstractNumId w:val="2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01F8"/>
    <w:rsid w:val="00006AE9"/>
    <w:rsid w:val="00014250"/>
    <w:rsid w:val="00025BF4"/>
    <w:rsid w:val="00043BDB"/>
    <w:rsid w:val="00057253"/>
    <w:rsid w:val="00064CC0"/>
    <w:rsid w:val="00065A86"/>
    <w:rsid w:val="000858D6"/>
    <w:rsid w:val="00087CF7"/>
    <w:rsid w:val="000953DE"/>
    <w:rsid w:val="00095F38"/>
    <w:rsid w:val="000967B2"/>
    <w:rsid w:val="000A0870"/>
    <w:rsid w:val="000A3C74"/>
    <w:rsid w:val="000B4B00"/>
    <w:rsid w:val="000D3907"/>
    <w:rsid w:val="000E33EA"/>
    <w:rsid w:val="000E3A6D"/>
    <w:rsid w:val="000E4EC2"/>
    <w:rsid w:val="000F3166"/>
    <w:rsid w:val="0010149E"/>
    <w:rsid w:val="00117A48"/>
    <w:rsid w:val="00122D7C"/>
    <w:rsid w:val="0013609D"/>
    <w:rsid w:val="001636A1"/>
    <w:rsid w:val="00173A54"/>
    <w:rsid w:val="001824BD"/>
    <w:rsid w:val="0019646F"/>
    <w:rsid w:val="001A01A8"/>
    <w:rsid w:val="001A19B0"/>
    <w:rsid w:val="001A3D7C"/>
    <w:rsid w:val="001A7621"/>
    <w:rsid w:val="001C3FF2"/>
    <w:rsid w:val="001D2732"/>
    <w:rsid w:val="001E40CD"/>
    <w:rsid w:val="001E6301"/>
    <w:rsid w:val="00205E7A"/>
    <w:rsid w:val="00206340"/>
    <w:rsid w:val="00227C4D"/>
    <w:rsid w:val="00244C17"/>
    <w:rsid w:val="00252113"/>
    <w:rsid w:val="00257DDD"/>
    <w:rsid w:val="00274415"/>
    <w:rsid w:val="00274FBC"/>
    <w:rsid w:val="00277771"/>
    <w:rsid w:val="00277AF9"/>
    <w:rsid w:val="002B3C10"/>
    <w:rsid w:val="002D0354"/>
    <w:rsid w:val="002D459C"/>
    <w:rsid w:val="00324FDD"/>
    <w:rsid w:val="0034541C"/>
    <w:rsid w:val="003457F1"/>
    <w:rsid w:val="003470A3"/>
    <w:rsid w:val="00353A85"/>
    <w:rsid w:val="00364244"/>
    <w:rsid w:val="003661F1"/>
    <w:rsid w:val="00375949"/>
    <w:rsid w:val="003B0452"/>
    <w:rsid w:val="003C0905"/>
    <w:rsid w:val="003D640B"/>
    <w:rsid w:val="003E20C4"/>
    <w:rsid w:val="003F45D0"/>
    <w:rsid w:val="00403CCA"/>
    <w:rsid w:val="0042261D"/>
    <w:rsid w:val="00425057"/>
    <w:rsid w:val="00427BF9"/>
    <w:rsid w:val="00452BFA"/>
    <w:rsid w:val="004904DA"/>
    <w:rsid w:val="004C6674"/>
    <w:rsid w:val="004E5452"/>
    <w:rsid w:val="004F16C7"/>
    <w:rsid w:val="00524404"/>
    <w:rsid w:val="005319DD"/>
    <w:rsid w:val="0054637D"/>
    <w:rsid w:val="00552CC3"/>
    <w:rsid w:val="0055678C"/>
    <w:rsid w:val="00556B0E"/>
    <w:rsid w:val="005712B3"/>
    <w:rsid w:val="005761CD"/>
    <w:rsid w:val="00576506"/>
    <w:rsid w:val="00582ABB"/>
    <w:rsid w:val="005A110A"/>
    <w:rsid w:val="005A7D33"/>
    <w:rsid w:val="005B6287"/>
    <w:rsid w:val="005E0BC9"/>
    <w:rsid w:val="005E6E47"/>
    <w:rsid w:val="005E71D1"/>
    <w:rsid w:val="005F316A"/>
    <w:rsid w:val="005F5428"/>
    <w:rsid w:val="00607A3E"/>
    <w:rsid w:val="00607BDE"/>
    <w:rsid w:val="00621CDF"/>
    <w:rsid w:val="006277E4"/>
    <w:rsid w:val="006331D9"/>
    <w:rsid w:val="00643C7D"/>
    <w:rsid w:val="00655451"/>
    <w:rsid w:val="00660503"/>
    <w:rsid w:val="00660F93"/>
    <w:rsid w:val="00661F08"/>
    <w:rsid w:val="00666E58"/>
    <w:rsid w:val="006728CF"/>
    <w:rsid w:val="00676A28"/>
    <w:rsid w:val="006B2712"/>
    <w:rsid w:val="006D4020"/>
    <w:rsid w:val="006D4D9A"/>
    <w:rsid w:val="006E07B4"/>
    <w:rsid w:val="006E0C9F"/>
    <w:rsid w:val="00714F91"/>
    <w:rsid w:val="007218CC"/>
    <w:rsid w:val="007400FB"/>
    <w:rsid w:val="00741816"/>
    <w:rsid w:val="0074288E"/>
    <w:rsid w:val="00742C26"/>
    <w:rsid w:val="00745F3D"/>
    <w:rsid w:val="0075063D"/>
    <w:rsid w:val="007624EB"/>
    <w:rsid w:val="007666BB"/>
    <w:rsid w:val="0077065C"/>
    <w:rsid w:val="0077506D"/>
    <w:rsid w:val="007A1646"/>
    <w:rsid w:val="007B4C18"/>
    <w:rsid w:val="007C42D1"/>
    <w:rsid w:val="007C6D46"/>
    <w:rsid w:val="007D5D6D"/>
    <w:rsid w:val="008155A2"/>
    <w:rsid w:val="008155A9"/>
    <w:rsid w:val="00835243"/>
    <w:rsid w:val="00846D64"/>
    <w:rsid w:val="0088206B"/>
    <w:rsid w:val="00883651"/>
    <w:rsid w:val="00890D10"/>
    <w:rsid w:val="008B3674"/>
    <w:rsid w:val="008C183D"/>
    <w:rsid w:val="008C4032"/>
    <w:rsid w:val="008E4FDA"/>
    <w:rsid w:val="00924C93"/>
    <w:rsid w:val="00932E32"/>
    <w:rsid w:val="00935995"/>
    <w:rsid w:val="00936584"/>
    <w:rsid w:val="00962656"/>
    <w:rsid w:val="00981AEB"/>
    <w:rsid w:val="00991BC9"/>
    <w:rsid w:val="009A0E03"/>
    <w:rsid w:val="009A1114"/>
    <w:rsid w:val="009A1565"/>
    <w:rsid w:val="009A25D9"/>
    <w:rsid w:val="009A6111"/>
    <w:rsid w:val="009C046F"/>
    <w:rsid w:val="009D5783"/>
    <w:rsid w:val="009F5337"/>
    <w:rsid w:val="00A03F68"/>
    <w:rsid w:val="00A04B2A"/>
    <w:rsid w:val="00A0508F"/>
    <w:rsid w:val="00A42EA3"/>
    <w:rsid w:val="00A5509D"/>
    <w:rsid w:val="00A707F1"/>
    <w:rsid w:val="00A754F8"/>
    <w:rsid w:val="00A9520A"/>
    <w:rsid w:val="00A96819"/>
    <w:rsid w:val="00AA4438"/>
    <w:rsid w:val="00AC5FA1"/>
    <w:rsid w:val="00AC769D"/>
    <w:rsid w:val="00AE523B"/>
    <w:rsid w:val="00B010C0"/>
    <w:rsid w:val="00B0224B"/>
    <w:rsid w:val="00B0716C"/>
    <w:rsid w:val="00B07BF3"/>
    <w:rsid w:val="00B35015"/>
    <w:rsid w:val="00B37D72"/>
    <w:rsid w:val="00B47969"/>
    <w:rsid w:val="00B57FB4"/>
    <w:rsid w:val="00B741D8"/>
    <w:rsid w:val="00B743AB"/>
    <w:rsid w:val="00B74AE3"/>
    <w:rsid w:val="00B76896"/>
    <w:rsid w:val="00B84A99"/>
    <w:rsid w:val="00BA1C23"/>
    <w:rsid w:val="00BA7FB9"/>
    <w:rsid w:val="00BB7D8E"/>
    <w:rsid w:val="00BC63D1"/>
    <w:rsid w:val="00BD3197"/>
    <w:rsid w:val="00C101F8"/>
    <w:rsid w:val="00C20737"/>
    <w:rsid w:val="00C301FC"/>
    <w:rsid w:val="00C308AD"/>
    <w:rsid w:val="00C63C72"/>
    <w:rsid w:val="00C736CA"/>
    <w:rsid w:val="00C80397"/>
    <w:rsid w:val="00C82D26"/>
    <w:rsid w:val="00C915AD"/>
    <w:rsid w:val="00C93C89"/>
    <w:rsid w:val="00C96888"/>
    <w:rsid w:val="00CA6236"/>
    <w:rsid w:val="00CC228A"/>
    <w:rsid w:val="00CC41AD"/>
    <w:rsid w:val="00CD2235"/>
    <w:rsid w:val="00CD2BC2"/>
    <w:rsid w:val="00CD67CB"/>
    <w:rsid w:val="00CE0D65"/>
    <w:rsid w:val="00CF09B6"/>
    <w:rsid w:val="00D20438"/>
    <w:rsid w:val="00D457B5"/>
    <w:rsid w:val="00D60722"/>
    <w:rsid w:val="00D6125D"/>
    <w:rsid w:val="00D65ACF"/>
    <w:rsid w:val="00D725D8"/>
    <w:rsid w:val="00D833F3"/>
    <w:rsid w:val="00D87591"/>
    <w:rsid w:val="00D95728"/>
    <w:rsid w:val="00DB108D"/>
    <w:rsid w:val="00DD3B1E"/>
    <w:rsid w:val="00DF14A0"/>
    <w:rsid w:val="00E0586A"/>
    <w:rsid w:val="00E10F23"/>
    <w:rsid w:val="00E17510"/>
    <w:rsid w:val="00E3098F"/>
    <w:rsid w:val="00E33F68"/>
    <w:rsid w:val="00E344D8"/>
    <w:rsid w:val="00E55C69"/>
    <w:rsid w:val="00E7685E"/>
    <w:rsid w:val="00EA5573"/>
    <w:rsid w:val="00EF54B1"/>
    <w:rsid w:val="00F33264"/>
    <w:rsid w:val="00F50851"/>
    <w:rsid w:val="00F73D80"/>
    <w:rsid w:val="00F76625"/>
    <w:rsid w:val="00F82254"/>
    <w:rsid w:val="00F90680"/>
    <w:rsid w:val="00F93FF0"/>
    <w:rsid w:val="00FC32F6"/>
    <w:rsid w:val="00FD5EA5"/>
    <w:rsid w:val="00FD60F8"/>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pPr>
      <w:spacing w:after="200" w:line="276" w:lineRule="auto"/>
    </w:pPr>
    <w:rPr>
      <w:sz w:val="22"/>
      <w:szCs w:val="22"/>
    </w:rPr>
  </w:style>
  <w:style w:type="paragraph" w:styleId="Heading1">
    <w:name w:val="heading 1"/>
    <w:basedOn w:val="Normal"/>
    <w:next w:val="Normal"/>
    <w:link w:val="Heading1Char"/>
    <w:uiPriority w:val="9"/>
    <w:qFormat/>
    <w:rsid w:val="00D60722"/>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22"/>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722"/>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72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72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2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2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2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2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pPr>
    <w:rPr>
      <w:rFonts w:ascii="Century Schoolbook" w:hAnsi="Century Schoolbook" w:cs="Century Schoolbook"/>
      <w:color w:val="000000"/>
      <w:sz w:val="24"/>
      <w:szCs w:val="24"/>
    </w:rPr>
  </w:style>
  <w:style w:type="character" w:customStyle="1" w:styleId="Heading1Char">
    <w:name w:val="Heading 1 Char"/>
    <w:basedOn w:val="DefaultParagraphFont"/>
    <w:link w:val="Heading1"/>
    <w:uiPriority w:val="9"/>
    <w:rsid w:val="00D607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072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D6072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D6072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D6072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6072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60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072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rsid w:val="00CF09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9B6"/>
    <w:rPr>
      <w:sz w:val="22"/>
      <w:szCs w:val="22"/>
    </w:rPr>
  </w:style>
  <w:style w:type="paragraph" w:styleId="Footer">
    <w:name w:val="footer"/>
    <w:basedOn w:val="Normal"/>
    <w:link w:val="FooterChar"/>
    <w:uiPriority w:val="99"/>
    <w:unhideWhenUsed/>
    <w:rsid w:val="00C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B6"/>
    <w:rPr>
      <w:sz w:val="22"/>
      <w:szCs w:val="22"/>
    </w:rPr>
  </w:style>
  <w:style w:type="character" w:styleId="Strong">
    <w:name w:val="Strong"/>
    <w:basedOn w:val="DefaultParagraphFont"/>
    <w:uiPriority w:val="22"/>
    <w:qFormat/>
    <w:rsid w:val="00CD2235"/>
    <w:rPr>
      <w:b/>
      <w:bCs/>
    </w:rPr>
  </w:style>
  <w:style w:type="character" w:customStyle="1" w:styleId="apple-converted-space">
    <w:name w:val="apple-converted-space"/>
    <w:basedOn w:val="DefaultParagraphFont"/>
    <w:rsid w:val="00CD2235"/>
  </w:style>
  <w:style w:type="character" w:customStyle="1" w:styleId="apple-style-span">
    <w:name w:val="apple-style-span"/>
    <w:basedOn w:val="DefaultParagraphFont"/>
    <w:rsid w:val="00CD2235"/>
  </w:style>
  <w:style w:type="character" w:styleId="Emphasis">
    <w:name w:val="Emphasis"/>
    <w:basedOn w:val="DefaultParagraphFont"/>
    <w:uiPriority w:val="20"/>
    <w:qFormat/>
    <w:rsid w:val="00CD2235"/>
    <w:rPr>
      <w:i/>
      <w:iCs/>
    </w:rPr>
  </w:style>
  <w:style w:type="character" w:customStyle="1" w:styleId="enumbell">
    <w:name w:val="enumbell"/>
    <w:basedOn w:val="DefaultParagraphFont"/>
    <w:rsid w:val="00C63C72"/>
  </w:style>
  <w:style w:type="character" w:customStyle="1" w:styleId="ptext-1">
    <w:name w:val="ptext-1"/>
    <w:basedOn w:val="DefaultParagraphFont"/>
    <w:rsid w:val="00C63C72"/>
  </w:style>
  <w:style w:type="paragraph" w:styleId="NormalWeb">
    <w:name w:val="Normal (Web)"/>
    <w:basedOn w:val="Normal"/>
    <w:uiPriority w:val="99"/>
    <w:semiHidden/>
    <w:unhideWhenUsed/>
    <w:rsid w:val="00A03F6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659294">
      <w:bodyDiv w:val="1"/>
      <w:marLeft w:val="0"/>
      <w:marRight w:val="0"/>
      <w:marTop w:val="0"/>
      <w:marBottom w:val="0"/>
      <w:divBdr>
        <w:top w:val="none" w:sz="0" w:space="0" w:color="auto"/>
        <w:left w:val="none" w:sz="0" w:space="0" w:color="auto"/>
        <w:bottom w:val="none" w:sz="0" w:space="0" w:color="auto"/>
        <w:right w:val="none" w:sz="0" w:space="0" w:color="auto"/>
      </w:divBdr>
    </w:div>
    <w:div w:id="263072335">
      <w:bodyDiv w:val="1"/>
      <w:marLeft w:val="0"/>
      <w:marRight w:val="0"/>
      <w:marTop w:val="0"/>
      <w:marBottom w:val="0"/>
      <w:divBdr>
        <w:top w:val="none" w:sz="0" w:space="0" w:color="auto"/>
        <w:left w:val="none" w:sz="0" w:space="0" w:color="auto"/>
        <w:bottom w:val="none" w:sz="0" w:space="0" w:color="auto"/>
        <w:right w:val="none" w:sz="0" w:space="0" w:color="auto"/>
      </w:divBdr>
    </w:div>
    <w:div w:id="672537187">
      <w:bodyDiv w:val="1"/>
      <w:marLeft w:val="0"/>
      <w:marRight w:val="0"/>
      <w:marTop w:val="0"/>
      <w:marBottom w:val="0"/>
      <w:divBdr>
        <w:top w:val="none" w:sz="0" w:space="0" w:color="auto"/>
        <w:left w:val="none" w:sz="0" w:space="0" w:color="auto"/>
        <w:bottom w:val="none" w:sz="0" w:space="0" w:color="auto"/>
        <w:right w:val="none" w:sz="0" w:space="0" w:color="auto"/>
      </w:divBdr>
      <w:divsChild>
        <w:div w:id="615330674">
          <w:marLeft w:val="2700"/>
          <w:marRight w:val="-11700"/>
          <w:marTop w:val="0"/>
          <w:marBottom w:val="0"/>
          <w:divBdr>
            <w:top w:val="none" w:sz="0" w:space="0" w:color="auto"/>
            <w:left w:val="none" w:sz="0" w:space="0" w:color="auto"/>
            <w:bottom w:val="none" w:sz="0" w:space="0" w:color="auto"/>
            <w:right w:val="none" w:sz="0" w:space="0" w:color="auto"/>
          </w:divBdr>
        </w:div>
      </w:divsChild>
    </w:div>
    <w:div w:id="15196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cp:lastPrinted>2010-12-08T16:53:00Z</cp:lastPrinted>
  <dcterms:created xsi:type="dcterms:W3CDTF">2010-12-27T04:01:00Z</dcterms:created>
  <dcterms:modified xsi:type="dcterms:W3CDTF">2010-12-27T04:01:00Z</dcterms:modified>
</cp:coreProperties>
</file>