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80" w:rsidRPr="00FF16A9"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u w:val="single"/>
        </w:rPr>
      </w:pPr>
      <w:r w:rsidRPr="00FF16A9">
        <w:rPr>
          <w:rFonts w:ascii="Times New Roman" w:hAnsi="Times New Roman"/>
          <w:b/>
          <w:sz w:val="28"/>
        </w:rPr>
        <w:t xml:space="preserve">UNITED STATES DISTRICT COURT FOR THE </w:t>
      </w:r>
    </w:p>
    <w:p w:rsidR="00F90680" w:rsidRPr="00FF16A9"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r w:rsidRPr="00FF16A9">
        <w:rPr>
          <w:rFonts w:ascii="Times New Roman" w:hAnsi="Times New Roman"/>
          <w:b/>
          <w:sz w:val="28"/>
        </w:rPr>
        <w:t>NORTHERN DISTRICT OF GEORIGA</w:t>
      </w:r>
    </w:p>
    <w:p w:rsidR="00F90680"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r w:rsidRPr="00FF16A9">
        <w:rPr>
          <w:rFonts w:ascii="Times New Roman" w:hAnsi="Times New Roman"/>
          <w:b/>
          <w:sz w:val="28"/>
        </w:rPr>
        <w:t>ATLANTA DIVISION</w:t>
      </w:r>
    </w:p>
    <w:p w:rsidR="00206340" w:rsidRPr="00FF16A9" w:rsidRDefault="0020634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p>
    <w:p w:rsidR="005A7D33" w:rsidRPr="006277E4" w:rsidRDefault="00D65ACF"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D65ACF">
        <w:rPr>
          <w:rFonts w:ascii="Times New Roman" w:hAnsi="Times New Roman"/>
          <w:b/>
          <w:noProof/>
          <w:sz w:val="28"/>
          <w:szCs w:val="28"/>
        </w:rPr>
        <w:pict>
          <v:shapetype id="_x0000_t202" coordsize="21600,21600" o:spt="202" path="m,l,21600r21600,l21600,xe">
            <v:stroke joinstyle="miter"/>
            <v:path gradientshapeok="t" o:connecttype="rect"/>
          </v:shapetype>
          <v:shape id="_x0000_s1028" type="#_x0000_t202" style="position:absolute;margin-left:-3.9pt;margin-top:23.7pt;width:279.9pt;height:257.65pt;z-index:251656704;mso-width-relative:margin;mso-height-relative:margin" strokecolor="white">
            <v:textbox>
              <w:txbxContent>
                <w:p w:rsidR="0037553F" w:rsidRDefault="0037553F"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 xml:space="preserve">Wekesa O. Madzimoyo, </w:t>
                  </w:r>
                  <w:r w:rsidRPr="006277E4">
                    <w:rPr>
                      <w:rFonts w:ascii="Times New Roman" w:hAnsi="Times New Roman"/>
                      <w:b/>
                      <w:sz w:val="28"/>
                      <w:szCs w:val="28"/>
                    </w:rPr>
                    <w:br/>
                    <w:t>Plaintiff,</w:t>
                  </w:r>
                  <w:r w:rsidRPr="006277E4">
                    <w:rPr>
                      <w:rFonts w:ascii="Times New Roman" w:hAnsi="Times New Roman"/>
                      <w:b/>
                      <w:sz w:val="28"/>
                      <w:szCs w:val="28"/>
                    </w:rPr>
                    <w:tab/>
                    <w:t xml:space="preserve">                                                </w:t>
                  </w:r>
                </w:p>
                <w:p w:rsidR="0037553F" w:rsidRDefault="0037553F"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v.</w:t>
                  </w:r>
                  <w:r w:rsidRPr="006277E4">
                    <w:rPr>
                      <w:rFonts w:ascii="Times New Roman" w:hAnsi="Times New Roman"/>
                      <w:b/>
                      <w:sz w:val="28"/>
                      <w:szCs w:val="28"/>
                    </w:rPr>
                    <w:tab/>
                  </w:r>
                </w:p>
                <w:p w:rsidR="0037553F" w:rsidRPr="006277E4" w:rsidRDefault="0037553F"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ab/>
                  </w:r>
                  <w:r w:rsidRPr="006277E4">
                    <w:rPr>
                      <w:rFonts w:ascii="Times New Roman" w:hAnsi="Times New Roman"/>
                      <w:b/>
                      <w:sz w:val="28"/>
                      <w:szCs w:val="28"/>
                    </w:rPr>
                    <w:tab/>
                  </w:r>
                  <w:r w:rsidRPr="006277E4">
                    <w:rPr>
                      <w:rFonts w:ascii="Times New Roman" w:hAnsi="Times New Roman"/>
                      <w:b/>
                      <w:sz w:val="28"/>
                      <w:szCs w:val="28"/>
                    </w:rPr>
                    <w:tab/>
                    <w:t xml:space="preserve">                                   </w:t>
                  </w:r>
                  <w:r w:rsidRPr="006277E4">
                    <w:rPr>
                      <w:rFonts w:ascii="Times New Roman" w:hAnsi="Times New Roman"/>
                      <w:b/>
                      <w:sz w:val="28"/>
                      <w:szCs w:val="28"/>
                    </w:rPr>
                    <w:tab/>
                    <w:t xml:space="preserve">             THE BANK OF NEW YORK                             </w:t>
                  </w:r>
                </w:p>
                <w:p w:rsidR="0037553F" w:rsidRPr="006277E4" w:rsidRDefault="0037553F"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 xml:space="preserve">MELLON TRUST COMPANY, NA.,                        </w:t>
                  </w:r>
                  <w:r>
                    <w:rPr>
                      <w:rFonts w:ascii="Times New Roman" w:hAnsi="Times New Roman"/>
                      <w:b/>
                      <w:sz w:val="28"/>
                      <w:szCs w:val="28"/>
                    </w:rPr>
                    <w:t>f</w:t>
                  </w:r>
                  <w:r w:rsidRPr="006277E4">
                    <w:rPr>
                      <w:rFonts w:ascii="Times New Roman" w:hAnsi="Times New Roman"/>
                      <w:b/>
                      <w:sz w:val="28"/>
                      <w:szCs w:val="28"/>
                    </w:rPr>
                    <w:t xml:space="preserve">ormerly known as The Bank of New              </w:t>
                  </w:r>
                  <w:r w:rsidRPr="006277E4">
                    <w:rPr>
                      <w:rFonts w:ascii="Times New Roman" w:hAnsi="Times New Roman"/>
                      <w:b/>
                      <w:sz w:val="28"/>
                      <w:szCs w:val="28"/>
                    </w:rPr>
                    <w:br/>
                    <w:t xml:space="preserve">York Trust Company, N.A., JP MORGAN    </w:t>
                  </w:r>
                  <w:r w:rsidRPr="006277E4">
                    <w:rPr>
                      <w:rFonts w:ascii="Times New Roman" w:hAnsi="Times New Roman"/>
                      <w:b/>
                      <w:sz w:val="28"/>
                      <w:szCs w:val="28"/>
                    </w:rPr>
                    <w:br/>
                    <w:t xml:space="preserve">CHASE BANK, NA, GMAC MORTGAGE, LLC </w:t>
                  </w:r>
                  <w:r>
                    <w:rPr>
                      <w:rFonts w:ascii="Times New Roman" w:hAnsi="Times New Roman"/>
                      <w:b/>
                      <w:sz w:val="28"/>
                      <w:szCs w:val="28"/>
                    </w:rPr>
                    <w:t>, MCCURDY AND CANDLER, LLC</w:t>
                  </w:r>
                  <w:r w:rsidRPr="006277E4">
                    <w:rPr>
                      <w:rFonts w:ascii="Times New Roman" w:hAnsi="Times New Roman"/>
                      <w:b/>
                      <w:sz w:val="28"/>
                      <w:szCs w:val="28"/>
                    </w:rPr>
                    <w:t xml:space="preserve">  </w:t>
                  </w:r>
                  <w:r w:rsidRPr="006277E4">
                    <w:rPr>
                      <w:rFonts w:ascii="Times New Roman" w:hAnsi="Times New Roman"/>
                      <w:b/>
                      <w:sz w:val="28"/>
                      <w:szCs w:val="28"/>
                    </w:rPr>
                    <w:br/>
                    <w:t xml:space="preserve">and ANTHONY DEMARLO, Attorney </w:t>
                  </w:r>
                </w:p>
                <w:p w:rsidR="0037553F" w:rsidRPr="005A7D33" w:rsidRDefault="0037553F" w:rsidP="00932E32">
                  <w:pPr>
                    <w:ind w:right="-570"/>
                  </w:pPr>
                </w:p>
              </w:txbxContent>
            </v:textbox>
          </v:shape>
        </w:pict>
      </w:r>
      <w:r w:rsidRPr="00D65ACF">
        <w:rPr>
          <w:rFonts w:ascii="Times New Roman" w:hAnsi="Times New Roman"/>
          <w:b/>
          <w:noProof/>
          <w:sz w:val="28"/>
          <w:szCs w:val="28"/>
          <w:lang w:eastAsia="zh-TW"/>
        </w:rPr>
        <w:pict>
          <v:shape id="_x0000_s1026" type="#_x0000_t202" style="position:absolute;margin-left:290.5pt;margin-top:62.7pt;width:217.1pt;height:65.6pt;z-index:251655680;mso-width-relative:margin;mso-height-relative:margin" strokecolor="white">
            <v:textbox style="mso-next-textbox:#_x0000_s1026;mso-fit-shape-to-text:t">
              <w:txbxContent>
                <w:p w:rsidR="0037553F" w:rsidRDefault="0037553F" w:rsidP="0020634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rPr>
                      <w:rFonts w:ascii="Times New Roman" w:hAnsi="Times New Roman"/>
                      <w:b/>
                      <w:sz w:val="28"/>
                      <w:szCs w:val="28"/>
                    </w:rPr>
                  </w:pPr>
                  <w:r w:rsidRPr="006277E4">
                    <w:rPr>
                      <w:rFonts w:ascii="Times New Roman" w:hAnsi="Times New Roman"/>
                      <w:b/>
                      <w:sz w:val="28"/>
                      <w:szCs w:val="28"/>
                    </w:rPr>
                    <w:t>CIVIL ACTION FILE</w:t>
                  </w:r>
                </w:p>
                <w:p w:rsidR="0037553F" w:rsidRPr="006277E4" w:rsidRDefault="0037553F" w:rsidP="0020634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rPr>
                      <w:rFonts w:ascii="Times New Roman" w:hAnsi="Times New Roman"/>
                      <w:b/>
                      <w:sz w:val="28"/>
                      <w:szCs w:val="28"/>
                    </w:rPr>
                  </w:pPr>
                  <w:r w:rsidRPr="006277E4">
                    <w:rPr>
                      <w:rFonts w:ascii="Times New Roman" w:hAnsi="Times New Roman"/>
                      <w:b/>
                      <w:sz w:val="28"/>
                      <w:szCs w:val="28"/>
                    </w:rPr>
                    <w:t>No. 1:09-CV-02355-CAP-GGB</w:t>
                  </w:r>
                </w:p>
                <w:p w:rsidR="0037553F" w:rsidRPr="005A7D33" w:rsidRDefault="0037553F" w:rsidP="005A7D33"/>
              </w:txbxContent>
            </v:textbox>
          </v:shape>
        </w:pict>
      </w:r>
      <w:r w:rsidRPr="00D65ACF">
        <w:rPr>
          <w:rFonts w:ascii="Times New Roman" w:hAnsi="Times New Roman"/>
          <w:b/>
          <w:noProof/>
          <w:sz w:val="28"/>
          <w:szCs w:val="28"/>
        </w:rPr>
        <w:pict>
          <v:shape id="_x0000_s1029" type="#_x0000_t202" style="position:absolute;margin-left:271pt;margin-top:23.7pt;width:26.75pt;height:242.4pt;z-index:251657728;mso-width-relative:margin;mso-height-relative:margin" strokecolor="white">
            <v:textbox style="mso-next-textbox:#_x0000_s1029;mso-fit-shape-to-text:t">
              <w:txbxContent>
                <w:p w:rsidR="0037553F" w:rsidRPr="00932E32" w:rsidRDefault="0037553F"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37553F" w:rsidRPr="00932E32" w:rsidRDefault="0037553F"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37553F" w:rsidRPr="00932E32" w:rsidRDefault="0037553F"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37553F" w:rsidRPr="00932E32" w:rsidRDefault="0037553F"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37553F" w:rsidRPr="00932E32" w:rsidRDefault="0037553F"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37553F" w:rsidRPr="00932E32" w:rsidRDefault="0037553F"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37553F" w:rsidRPr="00932E32" w:rsidRDefault="0037553F"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37553F" w:rsidRPr="00932E32" w:rsidRDefault="0037553F"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37553F" w:rsidRPr="006277E4" w:rsidRDefault="0037553F"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8"/>
                      <w:szCs w:val="28"/>
                    </w:rPr>
                  </w:pPr>
                  <w:r w:rsidRPr="00932E32">
                    <w:rPr>
                      <w:rFonts w:ascii="Times New Roman" w:hAnsi="Times New Roman"/>
                      <w:b/>
                      <w:sz w:val="20"/>
                      <w:szCs w:val="28"/>
                    </w:rPr>
                    <w:t>}</w:t>
                  </w:r>
                </w:p>
                <w:p w:rsidR="0037553F" w:rsidRPr="005A7D33" w:rsidRDefault="0037553F" w:rsidP="005A7D33"/>
              </w:txbxContent>
            </v:textbox>
          </v:shape>
        </w:pict>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p>
    <w:p w:rsidR="00F90680" w:rsidRPr="006277E4"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6277E4">
        <w:rPr>
          <w:rFonts w:ascii="Times New Roman" w:hAnsi="Times New Roman"/>
          <w:b/>
          <w:sz w:val="28"/>
          <w:szCs w:val="28"/>
        </w:rPr>
        <w:tab/>
        <w:t xml:space="preserve">  </w:t>
      </w:r>
      <w:r w:rsidR="00FF16A9" w:rsidRPr="006277E4">
        <w:rPr>
          <w:rFonts w:ascii="Times New Roman" w:hAnsi="Times New Roman"/>
          <w:b/>
          <w:sz w:val="28"/>
          <w:szCs w:val="28"/>
        </w:rPr>
        <w:t xml:space="preserve"> </w:t>
      </w:r>
      <w:r w:rsidR="00932E32">
        <w:rPr>
          <w:rFonts w:ascii="Times New Roman" w:hAnsi="Times New Roman"/>
          <w:b/>
          <w:sz w:val="28"/>
          <w:szCs w:val="28"/>
        </w:rPr>
        <w:t xml:space="preserve">  </w:t>
      </w:r>
      <w:r w:rsidRPr="006277E4">
        <w:rPr>
          <w:rFonts w:ascii="Times New Roman" w:hAnsi="Times New Roman"/>
          <w:b/>
          <w:sz w:val="28"/>
          <w:szCs w:val="28"/>
        </w:rPr>
        <w:t xml:space="preserve">   </w:t>
      </w:r>
    </w:p>
    <w:p w:rsidR="00F90680" w:rsidRPr="00182475" w:rsidRDefault="00FF16A9"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4"/>
        </w:rPr>
      </w:pPr>
      <w:r w:rsidRPr="006277E4">
        <w:rPr>
          <w:rFonts w:ascii="Times New Roman" w:hAnsi="Times New Roman"/>
          <w:b/>
          <w:sz w:val="28"/>
          <w:szCs w:val="28"/>
        </w:rPr>
        <w:t xml:space="preserve">                                              </w:t>
      </w:r>
      <w:r w:rsidR="00F90680" w:rsidRPr="006277E4">
        <w:rPr>
          <w:rFonts w:ascii="Times New Roman" w:hAnsi="Times New Roman"/>
          <w:b/>
          <w:sz w:val="28"/>
          <w:szCs w:val="28"/>
        </w:rPr>
        <w:t xml:space="preserve">                 </w:t>
      </w:r>
    </w:p>
    <w:p w:rsidR="00F90680" w:rsidRDefault="00F90680"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43C7D" w:rsidRDefault="00643C7D"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643C7D" w:rsidRPr="00643C7D" w:rsidRDefault="00643C7D"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643C7D">
        <w:rPr>
          <w:rFonts w:ascii="Times New Roman" w:hAnsi="Times New Roman"/>
          <w:b/>
          <w:sz w:val="28"/>
          <w:szCs w:val="28"/>
        </w:rPr>
        <w:t>Defendants</w:t>
      </w:r>
    </w:p>
    <w:p w:rsidR="00CA6236" w:rsidRPr="007D5D6D" w:rsidRDefault="00B37D72" w:rsidP="007D5D6D">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jc w:val="center"/>
        <w:rPr>
          <w:rFonts w:ascii="Times New Roman" w:hAnsi="Times New Roman"/>
          <w:b/>
          <w:sz w:val="28"/>
          <w:szCs w:val="28"/>
        </w:rPr>
      </w:pPr>
      <w:r w:rsidRPr="007D5D6D">
        <w:rPr>
          <w:rFonts w:ascii="Times New Roman" w:hAnsi="Times New Roman"/>
          <w:b/>
          <w:sz w:val="32"/>
          <w:szCs w:val="32"/>
        </w:rPr>
        <w:t>PLAINTIFF’S MOTION FOR SUMMARY JUDGEMENT</w:t>
      </w:r>
    </w:p>
    <w:p w:rsidR="00B37D72" w:rsidRPr="006277E4" w:rsidRDefault="00B37D72" w:rsidP="00B37D7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right="-570"/>
        <w:contextualSpacing/>
        <w:rPr>
          <w:rFonts w:ascii="Times New Roman" w:hAnsi="Times New Roman"/>
          <w:b/>
          <w:sz w:val="28"/>
          <w:szCs w:val="28"/>
        </w:rPr>
      </w:pPr>
      <w:r>
        <w:rPr>
          <w:rFonts w:ascii="Times New Roman" w:hAnsi="Times New Roman"/>
          <w:sz w:val="28"/>
          <w:szCs w:val="28"/>
        </w:rPr>
        <w:t xml:space="preserve">AGAINST </w:t>
      </w:r>
      <w:r w:rsidRPr="006277E4">
        <w:rPr>
          <w:rFonts w:ascii="Times New Roman" w:hAnsi="Times New Roman"/>
          <w:b/>
          <w:sz w:val="28"/>
          <w:szCs w:val="28"/>
        </w:rPr>
        <w:t>THE BANK O</w:t>
      </w:r>
      <w:r w:rsidR="007D5D6D">
        <w:rPr>
          <w:rFonts w:ascii="Times New Roman" w:hAnsi="Times New Roman"/>
          <w:b/>
          <w:sz w:val="28"/>
          <w:szCs w:val="28"/>
        </w:rPr>
        <w:t xml:space="preserve">F NEW YORK                      </w:t>
      </w:r>
    </w:p>
    <w:p w:rsidR="00B37D72" w:rsidRDefault="00B37D72" w:rsidP="00B37D7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right="-570"/>
        <w:contextualSpacing/>
        <w:rPr>
          <w:rFonts w:ascii="Times New Roman" w:hAnsi="Times New Roman"/>
          <w:b/>
          <w:sz w:val="28"/>
          <w:szCs w:val="28"/>
        </w:rPr>
      </w:pPr>
      <w:r w:rsidRPr="006277E4">
        <w:rPr>
          <w:rFonts w:ascii="Times New Roman" w:hAnsi="Times New Roman"/>
          <w:b/>
          <w:sz w:val="28"/>
          <w:szCs w:val="28"/>
        </w:rPr>
        <w:t xml:space="preserve">MELLON TRUST COMPANY, NA.,                        </w:t>
      </w:r>
      <w:r>
        <w:rPr>
          <w:rFonts w:ascii="Times New Roman" w:hAnsi="Times New Roman"/>
          <w:b/>
          <w:sz w:val="28"/>
          <w:szCs w:val="28"/>
        </w:rPr>
        <w:t>f</w:t>
      </w:r>
      <w:r w:rsidRPr="006277E4">
        <w:rPr>
          <w:rFonts w:ascii="Times New Roman" w:hAnsi="Times New Roman"/>
          <w:b/>
          <w:sz w:val="28"/>
          <w:szCs w:val="28"/>
        </w:rPr>
        <w:t xml:space="preserve">ormerly known as The Bank of New              </w:t>
      </w:r>
      <w:r w:rsidRPr="006277E4">
        <w:rPr>
          <w:rFonts w:ascii="Times New Roman" w:hAnsi="Times New Roman"/>
          <w:b/>
          <w:sz w:val="28"/>
          <w:szCs w:val="28"/>
        </w:rPr>
        <w:br/>
        <w:t xml:space="preserve">York Trust Company, N.A., JP MORGAN    </w:t>
      </w:r>
      <w:r w:rsidRPr="006277E4">
        <w:rPr>
          <w:rFonts w:ascii="Times New Roman" w:hAnsi="Times New Roman"/>
          <w:b/>
          <w:sz w:val="28"/>
          <w:szCs w:val="28"/>
        </w:rPr>
        <w:br/>
        <w:t xml:space="preserve">CHASE BANK, NA, GMAC MORTGAGE, LLC </w:t>
      </w:r>
      <w:r>
        <w:rPr>
          <w:rFonts w:ascii="Times New Roman" w:hAnsi="Times New Roman"/>
          <w:b/>
          <w:sz w:val="28"/>
          <w:szCs w:val="28"/>
        </w:rPr>
        <w:t>, MCCURDY AND CANDLER, LLC</w:t>
      </w:r>
      <w:r w:rsidRPr="006277E4">
        <w:rPr>
          <w:rFonts w:ascii="Times New Roman" w:hAnsi="Times New Roman"/>
          <w:b/>
          <w:sz w:val="28"/>
          <w:szCs w:val="28"/>
        </w:rPr>
        <w:t xml:space="preserve">  </w:t>
      </w:r>
      <w:r w:rsidRPr="006277E4">
        <w:rPr>
          <w:rFonts w:ascii="Times New Roman" w:hAnsi="Times New Roman"/>
          <w:b/>
          <w:sz w:val="28"/>
          <w:szCs w:val="28"/>
        </w:rPr>
        <w:br/>
        <w:t xml:space="preserve">and ANTHONY DEMARLO, Attorney </w:t>
      </w:r>
    </w:p>
    <w:p w:rsidR="00B37D72" w:rsidRDefault="00B37D72" w:rsidP="00B37D7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right="-570"/>
        <w:contextualSpacing/>
        <w:rPr>
          <w:rFonts w:ascii="Times New Roman" w:hAnsi="Times New Roman"/>
          <w:b/>
          <w:sz w:val="28"/>
          <w:szCs w:val="28"/>
        </w:rPr>
      </w:pPr>
    </w:p>
    <w:p w:rsidR="00B37D72" w:rsidRDefault="00B37D72" w:rsidP="00B37D7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contextualSpacing/>
        <w:rPr>
          <w:rFonts w:ascii="Times New Roman" w:hAnsi="Times New Roman"/>
          <w:sz w:val="28"/>
          <w:szCs w:val="28"/>
        </w:rPr>
      </w:pPr>
      <w:r w:rsidRPr="00B37D72">
        <w:rPr>
          <w:rFonts w:ascii="Times New Roman" w:hAnsi="Times New Roman"/>
          <w:sz w:val="28"/>
          <w:szCs w:val="28"/>
        </w:rPr>
        <w:lastRenderedPageBreak/>
        <w:t>Comes now P</w:t>
      </w:r>
      <w:r w:rsidR="007D5D6D">
        <w:rPr>
          <w:rFonts w:ascii="Times New Roman" w:hAnsi="Times New Roman"/>
          <w:sz w:val="28"/>
          <w:szCs w:val="28"/>
        </w:rPr>
        <w:t>LAINTIFF</w:t>
      </w:r>
      <w:r>
        <w:rPr>
          <w:rFonts w:ascii="Times New Roman" w:hAnsi="Times New Roman"/>
          <w:sz w:val="28"/>
          <w:szCs w:val="28"/>
        </w:rPr>
        <w:t xml:space="preserve"> Wekesa O. Madzimoyo, appearing pro se, and makes the  following motion for summary judgment  based upon undisputable facts and controlling law.</w:t>
      </w:r>
    </w:p>
    <w:p w:rsidR="00B37D72" w:rsidRDefault="007D5D6D" w:rsidP="00B37D7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contextualSpacing/>
        <w:rPr>
          <w:rFonts w:ascii="Times New Roman" w:hAnsi="Times New Roman"/>
          <w:sz w:val="28"/>
          <w:szCs w:val="28"/>
        </w:rPr>
      </w:pPr>
      <w:r>
        <w:rPr>
          <w:rFonts w:ascii="Times New Roman" w:hAnsi="Times New Roman"/>
          <w:sz w:val="28"/>
          <w:szCs w:val="28"/>
        </w:rPr>
        <w:t>PLAINTIFF</w:t>
      </w:r>
      <w:r w:rsidR="00B37D72">
        <w:rPr>
          <w:rFonts w:ascii="Times New Roman" w:hAnsi="Times New Roman"/>
          <w:sz w:val="28"/>
          <w:szCs w:val="28"/>
        </w:rPr>
        <w:t xml:space="preserve"> Madzimoyo contends that there is no genuine dispute concerning the following </w:t>
      </w:r>
      <w:r w:rsidR="00C63C72">
        <w:rPr>
          <w:rFonts w:ascii="Times New Roman" w:hAnsi="Times New Roman"/>
          <w:sz w:val="28"/>
          <w:szCs w:val="28"/>
        </w:rPr>
        <w:t xml:space="preserve">statement of </w:t>
      </w:r>
      <w:r w:rsidR="00B37D72">
        <w:rPr>
          <w:rFonts w:ascii="Times New Roman" w:hAnsi="Times New Roman"/>
          <w:sz w:val="28"/>
          <w:szCs w:val="28"/>
        </w:rPr>
        <w:t>material facts:</w:t>
      </w:r>
    </w:p>
    <w:p w:rsidR="00A0508F" w:rsidRDefault="00E55C69" w:rsidP="00B37D72">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t>Plaintiff signed a security deed with FT MORTGAGE COMPANIES DBA EQUIBANC MORTGAGE CORPORATION on March 23, 1999 which was recorded in the office of the clerk of the superior court of DEKALB COUNTY.</w:t>
      </w:r>
    </w:p>
    <w:p w:rsidR="00B37D72" w:rsidRDefault="00E55C69" w:rsidP="00B37D72">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t xml:space="preserve">To date there has not been </w:t>
      </w:r>
      <w:r w:rsidR="00A0508F">
        <w:rPr>
          <w:rFonts w:ascii="Times New Roman" w:hAnsi="Times New Roman"/>
          <w:sz w:val="28"/>
          <w:szCs w:val="28"/>
        </w:rPr>
        <w:t xml:space="preserve">one officially recorded </w:t>
      </w:r>
      <w:r>
        <w:rPr>
          <w:rFonts w:ascii="Times New Roman" w:hAnsi="Times New Roman"/>
          <w:sz w:val="28"/>
          <w:szCs w:val="28"/>
        </w:rPr>
        <w:t>assignment, transfer or sale associated with the property located at 852 Brafferton Place, Stone Mountain, GA 30083. (</w:t>
      </w:r>
      <w:r w:rsidR="005712B3">
        <w:rPr>
          <w:rFonts w:ascii="Times New Roman" w:hAnsi="Times New Roman"/>
          <w:sz w:val="28"/>
          <w:szCs w:val="28"/>
        </w:rPr>
        <w:t>Claim 2 of ORIGINAL</w:t>
      </w:r>
      <w:r>
        <w:rPr>
          <w:rFonts w:ascii="Times New Roman" w:hAnsi="Times New Roman"/>
          <w:sz w:val="28"/>
          <w:szCs w:val="28"/>
        </w:rPr>
        <w:t xml:space="preserve"> COMPLAINT.)</w:t>
      </w:r>
    </w:p>
    <w:p w:rsidR="00E55C69" w:rsidRDefault="00E55C69" w:rsidP="00B37D72">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t>OCGA – 44 – 14 – 162.2 requires that the current holder of the mortgage loan record the assignment of the security deed, which shows the present owner of the mortgage loan, in the public record in the office of the clerk of the superior court of the county in which the real property is located before conducting the foreclosure sale.</w:t>
      </w:r>
      <w:r w:rsidR="005712B3">
        <w:rPr>
          <w:rFonts w:ascii="Times New Roman" w:hAnsi="Times New Roman"/>
          <w:sz w:val="28"/>
          <w:szCs w:val="28"/>
        </w:rPr>
        <w:t xml:space="preserve"> (Claim 2 of ORIGINAL COMPLAINT.)</w:t>
      </w:r>
    </w:p>
    <w:p w:rsidR="000967B2" w:rsidRDefault="003E20C4" w:rsidP="00B37D72">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t xml:space="preserve">Although, Georgia is a non judicial foreclosure state, </w:t>
      </w:r>
      <w:r w:rsidR="000967B2">
        <w:rPr>
          <w:rFonts w:ascii="Times New Roman" w:hAnsi="Times New Roman"/>
          <w:sz w:val="28"/>
          <w:szCs w:val="28"/>
        </w:rPr>
        <w:t xml:space="preserve">OCGA – 44 – 14 – 162.2 </w:t>
      </w:r>
      <w:r>
        <w:rPr>
          <w:rFonts w:ascii="Times New Roman" w:hAnsi="Times New Roman"/>
          <w:sz w:val="28"/>
          <w:szCs w:val="28"/>
        </w:rPr>
        <w:t xml:space="preserve">strictly governs the process and requires that </w:t>
      </w:r>
      <w:r w:rsidR="00087CF7">
        <w:rPr>
          <w:rFonts w:ascii="Times New Roman" w:hAnsi="Times New Roman"/>
          <w:sz w:val="28"/>
          <w:szCs w:val="28"/>
        </w:rPr>
        <w:t>ALL</w:t>
      </w:r>
      <w:r>
        <w:rPr>
          <w:rFonts w:ascii="Times New Roman" w:hAnsi="Times New Roman"/>
          <w:sz w:val="28"/>
          <w:szCs w:val="28"/>
        </w:rPr>
        <w:t xml:space="preserve"> action proceed from the “secured creditor” and holder in due course.</w:t>
      </w:r>
      <w:r w:rsidR="000967B2">
        <w:rPr>
          <w:rFonts w:ascii="Times New Roman" w:hAnsi="Times New Roman"/>
          <w:sz w:val="28"/>
          <w:szCs w:val="28"/>
        </w:rPr>
        <w:t xml:space="preserve"> </w:t>
      </w:r>
    </w:p>
    <w:p w:rsidR="00E55C69" w:rsidRDefault="00E55C69" w:rsidP="00B37D72">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lastRenderedPageBreak/>
        <w:t>To date, not one of the Defendants has provided official verification of their standing as agent, debt collector, lender, note holder, services, investor, trustee, attorney-in-fact or otherwise in this matter. (See Certificate of Service Receipts of letters to DEFENDANTS requesting verification of debt in ORIGINAL COMPLAINT.)</w:t>
      </w:r>
    </w:p>
    <w:p w:rsidR="00E55C69" w:rsidRDefault="00E55C69" w:rsidP="00B37D72">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t>PLAINTIFF MADZIMOYO is not</w:t>
      </w:r>
      <w:r w:rsidR="00A0508F">
        <w:rPr>
          <w:rFonts w:ascii="Times New Roman" w:hAnsi="Times New Roman"/>
          <w:sz w:val="28"/>
          <w:szCs w:val="28"/>
        </w:rPr>
        <w:t>, nor has he ever been</w:t>
      </w:r>
      <w:r>
        <w:rPr>
          <w:rFonts w:ascii="Times New Roman" w:hAnsi="Times New Roman"/>
          <w:sz w:val="28"/>
          <w:szCs w:val="28"/>
        </w:rPr>
        <w:t xml:space="preserve"> in default o</w:t>
      </w:r>
      <w:r w:rsidR="00A0508F">
        <w:rPr>
          <w:rFonts w:ascii="Times New Roman" w:hAnsi="Times New Roman"/>
          <w:sz w:val="28"/>
          <w:szCs w:val="28"/>
        </w:rPr>
        <w:t>n his mortgage loan for SUBJECT PROPERTY</w:t>
      </w:r>
      <w:r>
        <w:rPr>
          <w:rFonts w:ascii="Times New Roman" w:hAnsi="Times New Roman"/>
          <w:sz w:val="28"/>
          <w:szCs w:val="28"/>
        </w:rPr>
        <w:t>. (See AFFADAVIT attached.)</w:t>
      </w:r>
    </w:p>
    <w:p w:rsidR="00E55C69" w:rsidRDefault="004E5452" w:rsidP="00B37D72">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t xml:space="preserve">On July 29, 2009, </w:t>
      </w:r>
      <w:r w:rsidR="003E20C4">
        <w:rPr>
          <w:rFonts w:ascii="Times New Roman" w:hAnsi="Times New Roman"/>
          <w:sz w:val="28"/>
          <w:szCs w:val="28"/>
        </w:rPr>
        <w:t xml:space="preserve">upon being presented evidence of Plaintiff’s considerable </w:t>
      </w:r>
      <w:r w:rsidR="00087CF7">
        <w:rPr>
          <w:rFonts w:ascii="Times New Roman" w:hAnsi="Times New Roman"/>
          <w:sz w:val="28"/>
          <w:szCs w:val="28"/>
        </w:rPr>
        <w:t xml:space="preserve">documented </w:t>
      </w:r>
      <w:r w:rsidR="003E20C4">
        <w:rPr>
          <w:rFonts w:ascii="Times New Roman" w:hAnsi="Times New Roman"/>
          <w:sz w:val="28"/>
          <w:szCs w:val="28"/>
        </w:rPr>
        <w:t>effort to get verification</w:t>
      </w:r>
      <w:r w:rsidR="00087CF7">
        <w:rPr>
          <w:rFonts w:ascii="Times New Roman" w:hAnsi="Times New Roman"/>
          <w:sz w:val="28"/>
          <w:szCs w:val="28"/>
        </w:rPr>
        <w:t xml:space="preserve"> from the DEFENDANTS given their breech of GA recording and foreclosure laws OCGA – 44 – 14 – 162.2 </w:t>
      </w:r>
      <w:r w:rsidR="003E20C4">
        <w:rPr>
          <w:rFonts w:ascii="Times New Roman" w:hAnsi="Times New Roman"/>
          <w:sz w:val="28"/>
          <w:szCs w:val="28"/>
        </w:rPr>
        <w:t xml:space="preserve"> (SEE attachment ORIGINAL COMPLAINT), </w:t>
      </w:r>
      <w:r>
        <w:rPr>
          <w:rFonts w:ascii="Times New Roman" w:hAnsi="Times New Roman"/>
          <w:sz w:val="28"/>
          <w:szCs w:val="28"/>
        </w:rPr>
        <w:t xml:space="preserve">DEKALB COUNTY SUPERIOR COURT JUDGE TANGELA M. BARRIE ordered the DEFENDANTS to </w:t>
      </w:r>
      <w:r w:rsidR="00087CF7">
        <w:rPr>
          <w:rFonts w:ascii="Times New Roman" w:hAnsi="Times New Roman"/>
          <w:sz w:val="28"/>
          <w:szCs w:val="28"/>
        </w:rPr>
        <w:t>“</w:t>
      </w:r>
      <w:r>
        <w:rPr>
          <w:rFonts w:ascii="Times New Roman" w:hAnsi="Times New Roman"/>
          <w:sz w:val="28"/>
          <w:szCs w:val="28"/>
        </w:rPr>
        <w:t>bring the proper evidence of the chain of title</w:t>
      </w:r>
      <w:r w:rsidR="00087CF7">
        <w:rPr>
          <w:rFonts w:ascii="Times New Roman" w:hAnsi="Times New Roman"/>
          <w:sz w:val="28"/>
          <w:szCs w:val="28"/>
        </w:rPr>
        <w:t>”</w:t>
      </w:r>
      <w:r>
        <w:rPr>
          <w:rFonts w:ascii="Times New Roman" w:hAnsi="Times New Roman"/>
          <w:sz w:val="28"/>
          <w:szCs w:val="28"/>
        </w:rPr>
        <w:t xml:space="preserve"> on the SUBJECT PROPERTY located at 852 Brafferton Place, Stone Mountain, GA 30083.</w:t>
      </w:r>
      <w:r w:rsidR="00C63C72">
        <w:rPr>
          <w:rFonts w:ascii="Times New Roman" w:hAnsi="Times New Roman"/>
          <w:sz w:val="28"/>
          <w:szCs w:val="28"/>
        </w:rPr>
        <w:t xml:space="preserve"> </w:t>
      </w:r>
      <w:r>
        <w:rPr>
          <w:rFonts w:ascii="Times New Roman" w:hAnsi="Times New Roman"/>
          <w:sz w:val="28"/>
          <w:szCs w:val="28"/>
        </w:rPr>
        <w:t>(See SUMMONS FROM ORIGINAL COMPLAINT.)</w:t>
      </w:r>
    </w:p>
    <w:p w:rsidR="00087CF7" w:rsidRDefault="00087CF7" w:rsidP="00B37D72">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t>The DEFENDANTS have failed to provide such evidence either in that COURT or this one.</w:t>
      </w:r>
    </w:p>
    <w:p w:rsidR="0077506D" w:rsidRPr="007D5D6D" w:rsidRDefault="0077506D" w:rsidP="007D5D6D">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jc w:val="center"/>
        <w:rPr>
          <w:rFonts w:ascii="Times New Roman" w:hAnsi="Times New Roman"/>
          <w:b/>
          <w:sz w:val="32"/>
          <w:szCs w:val="32"/>
        </w:rPr>
      </w:pPr>
      <w:r w:rsidRPr="007D5D6D">
        <w:rPr>
          <w:rFonts w:ascii="Times New Roman" w:hAnsi="Times New Roman"/>
          <w:b/>
          <w:sz w:val="32"/>
          <w:szCs w:val="32"/>
        </w:rPr>
        <w:t>STATEMENT OF UNCONTROVERTED MATERIAL FACTS</w:t>
      </w:r>
    </w:p>
    <w:p w:rsidR="0077506D" w:rsidRDefault="0077506D" w:rsidP="0077506D">
      <w:pPr>
        <w:pStyle w:val="ListParagraph"/>
        <w:numPr>
          <w:ilvl w:val="0"/>
          <w:numId w:val="24"/>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lastRenderedPageBreak/>
        <w:t xml:space="preserve">GA LAW --- requires that any foreclosing party establish itself as holder-in-due course.  To date, neither of the DEFENDANTS have done this.  This verification of proof of ownership was not provided to PLAINTIFF MADZIMOYO since his first asking beginning on  __________ through </w:t>
      </w:r>
      <w:r w:rsidR="00C63C72">
        <w:rPr>
          <w:rFonts w:ascii="Times New Roman" w:hAnsi="Times New Roman"/>
          <w:sz w:val="28"/>
          <w:szCs w:val="28"/>
        </w:rPr>
        <w:t>today, December 29, 2010.</w:t>
      </w:r>
      <w:r>
        <w:rPr>
          <w:rFonts w:ascii="Times New Roman" w:hAnsi="Times New Roman"/>
          <w:sz w:val="28"/>
          <w:szCs w:val="28"/>
        </w:rPr>
        <w:t xml:space="preserve"> (See response letters from DEFENDANTS in ORIGINAL COMPLAINT.)</w:t>
      </w:r>
    </w:p>
    <w:p w:rsidR="0077506D" w:rsidRPr="00C63C72" w:rsidRDefault="00A0508F" w:rsidP="0077506D">
      <w:pPr>
        <w:pStyle w:val="ListParagraph"/>
        <w:numPr>
          <w:ilvl w:val="0"/>
          <w:numId w:val="24"/>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sz w:val="28"/>
          <w:szCs w:val="28"/>
        </w:rPr>
      </w:pPr>
      <w:r>
        <w:rPr>
          <w:rStyle w:val="enumbell"/>
          <w:rFonts w:ascii="Times New Roman" w:hAnsi="Times New Roman"/>
          <w:b/>
          <w:bCs/>
          <w:color w:val="000000"/>
          <w:sz w:val="28"/>
          <w:szCs w:val="28"/>
        </w:rPr>
        <w:t xml:space="preserve">Pursuant to </w:t>
      </w:r>
      <w:r w:rsidR="00C63C72" w:rsidRPr="007D5D6D">
        <w:rPr>
          <w:rStyle w:val="enumbell"/>
          <w:rFonts w:ascii="Times New Roman" w:hAnsi="Times New Roman"/>
          <w:b/>
          <w:bCs/>
          <w:color w:val="000000"/>
          <w:sz w:val="28"/>
          <w:szCs w:val="28"/>
        </w:rPr>
        <w:t xml:space="preserve">Rule 9027 </w:t>
      </w:r>
      <w:r>
        <w:rPr>
          <w:rStyle w:val="ptext-1"/>
          <w:rFonts w:ascii="Times New Roman" w:hAnsi="Times New Roman"/>
          <w:color w:val="000000"/>
          <w:sz w:val="28"/>
          <w:szCs w:val="28"/>
        </w:rPr>
        <w:t>“</w:t>
      </w:r>
      <w:r w:rsidR="00C63C72" w:rsidRPr="007D5D6D">
        <w:rPr>
          <w:rStyle w:val="ptext-1"/>
          <w:rFonts w:ascii="Times New Roman" w:hAnsi="Times New Roman"/>
          <w:color w:val="000000"/>
          <w:sz w:val="28"/>
          <w:szCs w:val="28"/>
        </w:rPr>
        <w:t>When a claim or cause of action is removed to a district court</w:t>
      </w:r>
      <w:r>
        <w:rPr>
          <w:rStyle w:val="ptext-1"/>
          <w:rFonts w:ascii="Times New Roman" w:hAnsi="Times New Roman"/>
          <w:color w:val="000000"/>
          <w:sz w:val="28"/>
          <w:szCs w:val="28"/>
        </w:rPr>
        <w:t>…</w:t>
      </w:r>
      <w:r w:rsidR="00C63C72" w:rsidRPr="007D5D6D">
        <w:rPr>
          <w:rStyle w:val="ptext-1"/>
          <w:rFonts w:ascii="Times New Roman" w:hAnsi="Times New Roman"/>
          <w:color w:val="000000"/>
          <w:sz w:val="28"/>
          <w:szCs w:val="28"/>
        </w:rPr>
        <w:t xml:space="preserve"> the claim or cause of action prior to its removal shall remain valid and effectual notwithstanding such removal. All injunctions issued, orders entered and other proceedings had prior to removal shall remain in full force and effect until dissolved or modified by </w:t>
      </w:r>
      <w:r w:rsidR="00C63C72">
        <w:rPr>
          <w:rStyle w:val="ptext-1"/>
          <w:rFonts w:ascii="Verdana" w:hAnsi="Verdana"/>
          <w:color w:val="000000"/>
          <w:sz w:val="18"/>
          <w:szCs w:val="18"/>
        </w:rPr>
        <w:t xml:space="preserve">the </w:t>
      </w:r>
      <w:r w:rsidR="00C63C72" w:rsidRPr="007D5D6D">
        <w:rPr>
          <w:rStyle w:val="ptext-1"/>
          <w:rFonts w:ascii="Times New Roman" w:hAnsi="Times New Roman"/>
          <w:color w:val="000000"/>
          <w:sz w:val="28"/>
          <w:szCs w:val="28"/>
        </w:rPr>
        <w:t>court.</w:t>
      </w:r>
      <w:r>
        <w:rPr>
          <w:rStyle w:val="ptext-1"/>
          <w:rFonts w:ascii="Times New Roman" w:hAnsi="Times New Roman"/>
          <w:color w:val="000000"/>
          <w:sz w:val="28"/>
          <w:szCs w:val="28"/>
        </w:rPr>
        <w:t>”</w:t>
      </w:r>
    </w:p>
    <w:p w:rsidR="00C63C72" w:rsidRDefault="00C63C72" w:rsidP="00C63C72">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enumbell"/>
          <w:rFonts w:ascii="Times New Roman" w:hAnsi="Times New Roman"/>
          <w:bCs/>
          <w:color w:val="000000"/>
          <w:sz w:val="28"/>
          <w:szCs w:val="28"/>
        </w:rPr>
      </w:pPr>
      <w:r w:rsidRPr="007D5D6D">
        <w:rPr>
          <w:rStyle w:val="enumbell"/>
          <w:rFonts w:ascii="Times New Roman" w:hAnsi="Times New Roman"/>
          <w:bCs/>
          <w:color w:val="000000"/>
          <w:sz w:val="28"/>
          <w:szCs w:val="28"/>
        </w:rPr>
        <w:t xml:space="preserve">DEFENDANTS have not </w:t>
      </w:r>
      <w:r w:rsidR="00A0508F">
        <w:rPr>
          <w:rStyle w:val="enumbell"/>
          <w:rFonts w:ascii="Times New Roman" w:hAnsi="Times New Roman"/>
          <w:bCs/>
          <w:color w:val="000000"/>
          <w:sz w:val="28"/>
          <w:szCs w:val="28"/>
        </w:rPr>
        <w:t xml:space="preserve">even attempted to </w:t>
      </w:r>
      <w:r w:rsidRPr="007D5D6D">
        <w:rPr>
          <w:rStyle w:val="enumbell"/>
          <w:rFonts w:ascii="Times New Roman" w:hAnsi="Times New Roman"/>
          <w:bCs/>
          <w:color w:val="000000"/>
          <w:sz w:val="28"/>
          <w:szCs w:val="28"/>
        </w:rPr>
        <w:t>adhere to JUDGE BARRY’s ORDER of July 29, 2009</w:t>
      </w:r>
      <w:r w:rsidR="00375949">
        <w:rPr>
          <w:rStyle w:val="enumbell"/>
          <w:rFonts w:ascii="Times New Roman" w:hAnsi="Times New Roman"/>
          <w:bCs/>
          <w:color w:val="000000"/>
          <w:sz w:val="28"/>
          <w:szCs w:val="28"/>
        </w:rPr>
        <w:t>, and have provided no evidence of their standing in this matter whatsoever.</w:t>
      </w:r>
    </w:p>
    <w:p w:rsidR="0037553F" w:rsidRDefault="006B2712" w:rsidP="0037553F">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enumbell"/>
          <w:rFonts w:ascii="Times New Roman" w:hAnsi="Times New Roman"/>
          <w:bCs/>
          <w:color w:val="000000"/>
          <w:sz w:val="28"/>
          <w:szCs w:val="28"/>
        </w:rPr>
      </w:pPr>
      <w:r>
        <w:rPr>
          <w:rStyle w:val="enumbell"/>
          <w:rFonts w:ascii="Times New Roman" w:hAnsi="Times New Roman"/>
          <w:bCs/>
          <w:color w:val="000000"/>
          <w:sz w:val="28"/>
          <w:szCs w:val="28"/>
        </w:rPr>
        <w:t xml:space="preserve">DEFENDANTS have not provided any evidence that they did not </w:t>
      </w:r>
      <w:r w:rsidR="00006AE9">
        <w:rPr>
          <w:rStyle w:val="enumbell"/>
          <w:rFonts w:ascii="Times New Roman" w:hAnsi="Times New Roman"/>
          <w:bCs/>
          <w:color w:val="000000"/>
          <w:sz w:val="28"/>
          <w:szCs w:val="28"/>
        </w:rPr>
        <w:t>violate GA law</w:t>
      </w:r>
      <w:r w:rsidR="0037553F">
        <w:rPr>
          <w:rStyle w:val="enumbell"/>
          <w:rFonts w:ascii="Times New Roman" w:hAnsi="Times New Roman"/>
          <w:bCs/>
          <w:color w:val="000000"/>
          <w:sz w:val="28"/>
          <w:szCs w:val="28"/>
        </w:rPr>
        <w:t>.</w:t>
      </w:r>
    </w:p>
    <w:p w:rsidR="000B1955" w:rsidRDefault="000B1955" w:rsidP="0037553F">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enumbell"/>
          <w:rFonts w:ascii="Times New Roman" w:hAnsi="Times New Roman"/>
          <w:bCs/>
          <w:color w:val="000000"/>
          <w:sz w:val="28"/>
          <w:szCs w:val="28"/>
        </w:rPr>
      </w:pPr>
      <w:r w:rsidRPr="00C43C34">
        <w:rPr>
          <w:rFonts w:ascii="Times New Roman" w:hAnsi="Times New Roman"/>
          <w:sz w:val="28"/>
          <w:szCs w:val="28"/>
        </w:rPr>
        <w:t>(FDCPA), 15 U.S.C. §§ 1692-1692p.</w:t>
      </w:r>
    </w:p>
    <w:p w:rsidR="0037553F" w:rsidRDefault="0037553F" w:rsidP="0037553F">
      <w:pPr>
        <w:pStyle w:val="ListParagraph"/>
        <w:numPr>
          <w:ilvl w:val="0"/>
          <w:numId w:val="24"/>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bCs/>
          <w:color w:val="000000"/>
          <w:sz w:val="28"/>
          <w:szCs w:val="28"/>
        </w:rPr>
      </w:pPr>
      <w:r>
        <w:rPr>
          <w:rStyle w:val="ptext-1"/>
          <w:rFonts w:ascii="Times New Roman" w:hAnsi="Times New Roman"/>
          <w:bCs/>
          <w:color w:val="000000"/>
          <w:sz w:val="28"/>
          <w:szCs w:val="28"/>
        </w:rPr>
        <w:t>The DEFENDANTS  inability to produce evidence to successfully challenge these facts are evidenced by their:</w:t>
      </w:r>
    </w:p>
    <w:p w:rsidR="00451C0C" w:rsidRDefault="000B1955" w:rsidP="0037553F">
      <w:pPr>
        <w:pStyle w:val="ListParagraph"/>
        <w:numPr>
          <w:ilvl w:val="1"/>
          <w:numId w:val="24"/>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bCs/>
          <w:color w:val="000000"/>
          <w:sz w:val="28"/>
          <w:szCs w:val="28"/>
        </w:rPr>
      </w:pPr>
      <w:r>
        <w:rPr>
          <w:rStyle w:val="ptext-1"/>
          <w:rFonts w:ascii="Times New Roman" w:hAnsi="Times New Roman"/>
          <w:bCs/>
          <w:color w:val="000000"/>
          <w:sz w:val="28"/>
          <w:szCs w:val="28"/>
        </w:rPr>
        <w:t>A</w:t>
      </w:r>
      <w:r w:rsidR="0037553F">
        <w:rPr>
          <w:rStyle w:val="ptext-1"/>
          <w:rFonts w:ascii="Times New Roman" w:hAnsi="Times New Roman"/>
          <w:bCs/>
          <w:color w:val="000000"/>
          <w:sz w:val="28"/>
          <w:szCs w:val="28"/>
        </w:rPr>
        <w:t>ttempts to redirect the COURTS attention away from their breech of the aforementioned GA laws</w:t>
      </w:r>
      <w:r w:rsidR="00A451CE">
        <w:rPr>
          <w:rStyle w:val="ptext-1"/>
          <w:rFonts w:ascii="Times New Roman" w:hAnsi="Times New Roman"/>
          <w:bCs/>
          <w:color w:val="000000"/>
          <w:sz w:val="28"/>
          <w:szCs w:val="28"/>
        </w:rPr>
        <w:t xml:space="preserve"> governing property recordation</w:t>
      </w:r>
      <w:r w:rsidR="00451C0C">
        <w:rPr>
          <w:rStyle w:val="ptext-1"/>
          <w:rFonts w:ascii="Times New Roman" w:hAnsi="Times New Roman"/>
          <w:bCs/>
          <w:color w:val="000000"/>
          <w:sz w:val="28"/>
          <w:szCs w:val="28"/>
        </w:rPr>
        <w:t>, assignment</w:t>
      </w:r>
      <w:r w:rsidR="00A451CE">
        <w:rPr>
          <w:rStyle w:val="ptext-1"/>
          <w:rFonts w:ascii="Times New Roman" w:hAnsi="Times New Roman"/>
          <w:bCs/>
          <w:color w:val="000000"/>
          <w:sz w:val="28"/>
          <w:szCs w:val="28"/>
        </w:rPr>
        <w:t xml:space="preserve"> and foreclosure </w:t>
      </w:r>
    </w:p>
    <w:p w:rsidR="0037553F" w:rsidRDefault="00451C0C" w:rsidP="0037553F">
      <w:pPr>
        <w:pStyle w:val="ListParagraph"/>
        <w:numPr>
          <w:ilvl w:val="1"/>
          <w:numId w:val="24"/>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bCs/>
          <w:color w:val="000000"/>
          <w:sz w:val="28"/>
          <w:szCs w:val="28"/>
        </w:rPr>
      </w:pPr>
      <w:r>
        <w:rPr>
          <w:rStyle w:val="ptext-1"/>
          <w:rFonts w:ascii="Times New Roman" w:hAnsi="Times New Roman"/>
          <w:bCs/>
          <w:color w:val="000000"/>
          <w:sz w:val="28"/>
          <w:szCs w:val="28"/>
        </w:rPr>
        <w:lastRenderedPageBreak/>
        <w:t>Attempts to direct the COURT away from their wa</w:t>
      </w:r>
      <w:r w:rsidR="00A451CE">
        <w:rPr>
          <w:rStyle w:val="ptext-1"/>
          <w:rFonts w:ascii="Times New Roman" w:hAnsi="Times New Roman"/>
          <w:bCs/>
          <w:color w:val="000000"/>
          <w:sz w:val="28"/>
          <w:szCs w:val="28"/>
        </w:rPr>
        <w:t xml:space="preserve">nton disregard for Federal Laws </w:t>
      </w:r>
      <w:r w:rsidRPr="00C43C34">
        <w:rPr>
          <w:rFonts w:ascii="Times New Roman" w:hAnsi="Times New Roman"/>
          <w:sz w:val="28"/>
          <w:szCs w:val="28"/>
        </w:rPr>
        <w:t>(FDCPA), 15 U.S.C. §§ 1692-1692p</w:t>
      </w:r>
      <w:r>
        <w:rPr>
          <w:rFonts w:ascii="Times New Roman" w:hAnsi="Times New Roman"/>
          <w:sz w:val="28"/>
          <w:szCs w:val="28"/>
        </w:rPr>
        <w:t xml:space="preserve"> </w:t>
      </w:r>
      <w:r w:rsidR="00A451CE">
        <w:rPr>
          <w:rStyle w:val="ptext-1"/>
          <w:rFonts w:ascii="Times New Roman" w:hAnsi="Times New Roman"/>
          <w:bCs/>
          <w:color w:val="000000"/>
          <w:sz w:val="28"/>
          <w:szCs w:val="28"/>
        </w:rPr>
        <w:t>protecting Plaintiff’s right to debt verification</w:t>
      </w:r>
      <w:r>
        <w:rPr>
          <w:rStyle w:val="ptext-1"/>
          <w:rFonts w:ascii="Times New Roman" w:hAnsi="Times New Roman"/>
          <w:bCs/>
          <w:color w:val="000000"/>
          <w:sz w:val="28"/>
          <w:szCs w:val="28"/>
        </w:rPr>
        <w:t>-</w:t>
      </w:r>
      <w:r w:rsidR="00A451CE">
        <w:rPr>
          <w:rStyle w:val="ptext-1"/>
          <w:rFonts w:ascii="Times New Roman" w:hAnsi="Times New Roman"/>
          <w:bCs/>
          <w:color w:val="000000"/>
          <w:sz w:val="28"/>
          <w:szCs w:val="28"/>
        </w:rPr>
        <w:t xml:space="preserve"> including knowing the actual secured creditor and holder in due course for his property </w:t>
      </w:r>
      <w:r w:rsidR="0037553F">
        <w:rPr>
          <w:rStyle w:val="ptext-1"/>
          <w:rFonts w:ascii="Times New Roman" w:hAnsi="Times New Roman"/>
          <w:bCs/>
          <w:color w:val="000000"/>
          <w:sz w:val="28"/>
          <w:szCs w:val="28"/>
        </w:rPr>
        <w:t xml:space="preserve"> </w:t>
      </w:r>
    </w:p>
    <w:p w:rsidR="000B1955" w:rsidRDefault="000B1955" w:rsidP="0037553F">
      <w:pPr>
        <w:pStyle w:val="ListParagraph"/>
        <w:numPr>
          <w:ilvl w:val="1"/>
          <w:numId w:val="24"/>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bCs/>
          <w:color w:val="000000"/>
          <w:sz w:val="28"/>
          <w:szCs w:val="28"/>
        </w:rPr>
      </w:pPr>
      <w:r>
        <w:rPr>
          <w:rStyle w:val="ptext-1"/>
          <w:rFonts w:ascii="Times New Roman" w:hAnsi="Times New Roman"/>
          <w:bCs/>
          <w:color w:val="000000"/>
          <w:sz w:val="28"/>
          <w:szCs w:val="28"/>
        </w:rPr>
        <w:t xml:space="preserve">Ignoring  Judge </w:t>
      </w:r>
      <w:r w:rsidR="00A451CE">
        <w:rPr>
          <w:rStyle w:val="ptext-1"/>
          <w:rFonts w:ascii="Times New Roman" w:hAnsi="Times New Roman"/>
          <w:bCs/>
          <w:color w:val="000000"/>
          <w:sz w:val="28"/>
          <w:szCs w:val="28"/>
        </w:rPr>
        <w:t xml:space="preserve">TANGELA BARRIE’S </w:t>
      </w:r>
      <w:r>
        <w:rPr>
          <w:rStyle w:val="ptext-1"/>
          <w:rFonts w:ascii="Times New Roman" w:hAnsi="Times New Roman"/>
          <w:bCs/>
          <w:color w:val="000000"/>
          <w:sz w:val="28"/>
          <w:szCs w:val="28"/>
        </w:rPr>
        <w:t>standing order that followed the case with Removal</w:t>
      </w:r>
    </w:p>
    <w:p w:rsidR="0037553F" w:rsidRDefault="000B1955" w:rsidP="0037553F">
      <w:pPr>
        <w:pStyle w:val="ListParagraph"/>
        <w:numPr>
          <w:ilvl w:val="1"/>
          <w:numId w:val="24"/>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bCs/>
          <w:color w:val="000000"/>
          <w:sz w:val="28"/>
          <w:szCs w:val="28"/>
        </w:rPr>
      </w:pPr>
      <w:r>
        <w:rPr>
          <w:rStyle w:val="ptext-1"/>
          <w:rFonts w:ascii="Times New Roman" w:hAnsi="Times New Roman"/>
          <w:bCs/>
          <w:color w:val="000000"/>
          <w:sz w:val="28"/>
          <w:szCs w:val="28"/>
        </w:rPr>
        <w:t>A</w:t>
      </w:r>
      <w:r w:rsidR="0037553F">
        <w:rPr>
          <w:rStyle w:val="ptext-1"/>
          <w:rFonts w:ascii="Times New Roman" w:hAnsi="Times New Roman"/>
          <w:bCs/>
          <w:color w:val="000000"/>
          <w:sz w:val="28"/>
          <w:szCs w:val="28"/>
        </w:rPr>
        <w:t>lleging that the Plaintiff defaulted on his mortgage payments and sought  unjust court relief, in spite of the signed modification agreement that required the Plaintiff to be current on his mortgage at the time the</w:t>
      </w:r>
      <w:r>
        <w:rPr>
          <w:rStyle w:val="ptext-1"/>
          <w:rFonts w:ascii="Times New Roman" w:hAnsi="Times New Roman"/>
          <w:bCs/>
          <w:color w:val="000000"/>
          <w:sz w:val="28"/>
          <w:szCs w:val="28"/>
        </w:rPr>
        <w:t xml:space="preserve"> Plaintiff started the </w:t>
      </w:r>
      <w:r w:rsidR="0037553F">
        <w:rPr>
          <w:rStyle w:val="ptext-1"/>
          <w:rFonts w:ascii="Times New Roman" w:hAnsi="Times New Roman"/>
          <w:bCs/>
          <w:color w:val="000000"/>
          <w:sz w:val="28"/>
          <w:szCs w:val="28"/>
        </w:rPr>
        <w:t xml:space="preserve">action seeing debt verification under </w:t>
      </w:r>
      <w:r w:rsidRPr="00C43C34">
        <w:rPr>
          <w:rFonts w:ascii="Times New Roman" w:hAnsi="Times New Roman"/>
          <w:sz w:val="28"/>
          <w:szCs w:val="28"/>
        </w:rPr>
        <w:t>(FDCPA), 15 U.S.C. §§ 1692-1692p</w:t>
      </w:r>
      <w:r>
        <w:rPr>
          <w:rFonts w:ascii="Times New Roman" w:hAnsi="Times New Roman"/>
          <w:sz w:val="28"/>
          <w:szCs w:val="28"/>
        </w:rPr>
        <w:t xml:space="preserve"> </w:t>
      </w:r>
      <w:r w:rsidR="0037553F">
        <w:rPr>
          <w:rStyle w:val="ptext-1"/>
          <w:rFonts w:ascii="Times New Roman" w:hAnsi="Times New Roman"/>
          <w:bCs/>
          <w:color w:val="000000"/>
          <w:sz w:val="28"/>
          <w:szCs w:val="28"/>
        </w:rPr>
        <w:t xml:space="preserve"> was commenced. (See Affidavit</w:t>
      </w:r>
      <w:r>
        <w:rPr>
          <w:rStyle w:val="ptext-1"/>
          <w:rFonts w:ascii="Times New Roman" w:hAnsi="Times New Roman"/>
          <w:bCs/>
          <w:color w:val="000000"/>
          <w:sz w:val="28"/>
          <w:szCs w:val="28"/>
        </w:rPr>
        <w:t xml:space="preserve"> and ORIGINAL COMPLAINT</w:t>
      </w:r>
      <w:r w:rsidR="0037553F">
        <w:rPr>
          <w:rStyle w:val="ptext-1"/>
          <w:rFonts w:ascii="Times New Roman" w:hAnsi="Times New Roman"/>
          <w:bCs/>
          <w:color w:val="000000"/>
          <w:sz w:val="28"/>
          <w:szCs w:val="28"/>
        </w:rPr>
        <w:t>)</w:t>
      </w:r>
    </w:p>
    <w:p w:rsidR="000B1955" w:rsidRPr="000B1955" w:rsidRDefault="000B1955" w:rsidP="000B1955">
      <w:pPr>
        <w:pStyle w:val="ListParagraph"/>
        <w:numPr>
          <w:ilvl w:val="1"/>
          <w:numId w:val="24"/>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b/>
          <w:sz w:val="32"/>
          <w:szCs w:val="32"/>
        </w:rPr>
      </w:pPr>
      <w:r w:rsidRPr="000B1955">
        <w:rPr>
          <w:rStyle w:val="ptext-1"/>
          <w:rFonts w:ascii="Times New Roman" w:hAnsi="Times New Roman"/>
          <w:bCs/>
          <w:color w:val="000000"/>
          <w:sz w:val="28"/>
          <w:szCs w:val="28"/>
        </w:rPr>
        <w:t>A</w:t>
      </w:r>
      <w:r w:rsidR="0037553F" w:rsidRPr="000B1955">
        <w:rPr>
          <w:rStyle w:val="ptext-1"/>
          <w:rFonts w:ascii="Times New Roman" w:hAnsi="Times New Roman"/>
          <w:bCs/>
          <w:color w:val="000000"/>
          <w:sz w:val="28"/>
          <w:szCs w:val="28"/>
        </w:rPr>
        <w:t xml:space="preserve">ttempts </w:t>
      </w:r>
      <w:r w:rsidR="00FB3001" w:rsidRPr="000B1955">
        <w:rPr>
          <w:rStyle w:val="ptext-1"/>
          <w:rFonts w:ascii="Times New Roman" w:hAnsi="Times New Roman"/>
          <w:bCs/>
          <w:color w:val="000000"/>
          <w:sz w:val="28"/>
          <w:szCs w:val="28"/>
        </w:rPr>
        <w:t xml:space="preserve">to </w:t>
      </w:r>
      <w:r>
        <w:rPr>
          <w:rStyle w:val="ptext-1"/>
          <w:rFonts w:ascii="Times New Roman" w:hAnsi="Times New Roman"/>
          <w:bCs/>
          <w:color w:val="000000"/>
          <w:sz w:val="28"/>
          <w:szCs w:val="28"/>
        </w:rPr>
        <w:t xml:space="preserve">redirect the </w:t>
      </w:r>
      <w:r w:rsidR="00451C0C">
        <w:rPr>
          <w:rStyle w:val="ptext-1"/>
          <w:rFonts w:ascii="Times New Roman" w:hAnsi="Times New Roman"/>
          <w:bCs/>
          <w:color w:val="000000"/>
          <w:sz w:val="28"/>
          <w:szCs w:val="28"/>
        </w:rPr>
        <w:t>COURT</w:t>
      </w:r>
      <w:r>
        <w:rPr>
          <w:rStyle w:val="ptext-1"/>
          <w:rFonts w:ascii="Times New Roman" w:hAnsi="Times New Roman"/>
          <w:bCs/>
          <w:color w:val="000000"/>
          <w:sz w:val="28"/>
          <w:szCs w:val="28"/>
        </w:rPr>
        <w:t xml:space="preserve"> and </w:t>
      </w:r>
      <w:r w:rsidR="00FB3001" w:rsidRPr="000B1955">
        <w:rPr>
          <w:rStyle w:val="ptext-1"/>
          <w:rFonts w:ascii="Times New Roman" w:hAnsi="Times New Roman"/>
          <w:bCs/>
          <w:color w:val="000000"/>
          <w:sz w:val="28"/>
          <w:szCs w:val="28"/>
        </w:rPr>
        <w:t>restate the Plaintiff’s case as an Internet inspired “</w:t>
      </w:r>
      <w:r w:rsidRPr="000B1955">
        <w:rPr>
          <w:rStyle w:val="ptext-1"/>
          <w:rFonts w:ascii="Times New Roman" w:hAnsi="Times New Roman"/>
          <w:bCs/>
          <w:color w:val="000000"/>
          <w:sz w:val="28"/>
          <w:szCs w:val="28"/>
        </w:rPr>
        <w:t>P</w:t>
      </w:r>
      <w:r w:rsidR="00FB3001" w:rsidRPr="000B1955">
        <w:rPr>
          <w:rStyle w:val="ptext-1"/>
          <w:rFonts w:ascii="Times New Roman" w:hAnsi="Times New Roman"/>
          <w:bCs/>
          <w:color w:val="000000"/>
          <w:sz w:val="28"/>
          <w:szCs w:val="28"/>
        </w:rPr>
        <w:t>roduce the note</w:t>
      </w:r>
      <w:r w:rsidRPr="000B1955">
        <w:rPr>
          <w:rStyle w:val="ptext-1"/>
          <w:rFonts w:ascii="Times New Roman" w:hAnsi="Times New Roman"/>
          <w:bCs/>
          <w:color w:val="000000"/>
          <w:sz w:val="28"/>
          <w:szCs w:val="28"/>
        </w:rPr>
        <w:t xml:space="preserve"> </w:t>
      </w:r>
      <w:r w:rsidR="00FB3001" w:rsidRPr="000B1955">
        <w:rPr>
          <w:rStyle w:val="ptext-1"/>
          <w:rFonts w:ascii="Times New Roman" w:hAnsi="Times New Roman"/>
          <w:bCs/>
          <w:color w:val="000000"/>
          <w:sz w:val="28"/>
          <w:szCs w:val="28"/>
        </w:rPr>
        <w:t>scam</w:t>
      </w:r>
      <w:r w:rsidRPr="000B1955">
        <w:rPr>
          <w:rStyle w:val="ptext-1"/>
          <w:rFonts w:ascii="Times New Roman" w:hAnsi="Times New Roman"/>
          <w:bCs/>
          <w:color w:val="000000"/>
          <w:sz w:val="28"/>
          <w:szCs w:val="28"/>
        </w:rPr>
        <w:t>.”</w:t>
      </w:r>
      <w:r w:rsidR="00FB3001" w:rsidRPr="000B1955">
        <w:rPr>
          <w:rStyle w:val="ptext-1"/>
          <w:rFonts w:ascii="Times New Roman" w:hAnsi="Times New Roman"/>
          <w:bCs/>
          <w:color w:val="000000"/>
          <w:sz w:val="28"/>
          <w:szCs w:val="28"/>
        </w:rPr>
        <w:t xml:space="preserve"> In this regard the DEFENDANTS have even said </w:t>
      </w:r>
      <w:r w:rsidRPr="00C43C34">
        <w:rPr>
          <w:rFonts w:ascii="Times New Roman" w:hAnsi="Times New Roman"/>
          <w:sz w:val="28"/>
          <w:szCs w:val="28"/>
        </w:rPr>
        <w:t xml:space="preserve">“that Plaintiff cannot produce a Georgia law requiring “either a lender or its attorney conducting the foreclosure sale” to “Produce The Note.”  </w:t>
      </w:r>
      <w:r>
        <w:rPr>
          <w:rFonts w:ascii="Times New Roman" w:hAnsi="Times New Roman"/>
          <w:sz w:val="28"/>
          <w:szCs w:val="28"/>
        </w:rPr>
        <w:t>(See DEFENDANTS MOTIONS FOR JUDGEMENT ON THE PLEADINGS)</w:t>
      </w:r>
    </w:p>
    <w:p w:rsidR="00A451CE" w:rsidRPr="00A451CE" w:rsidRDefault="000B1955" w:rsidP="000B1955">
      <w:pPr>
        <w:pStyle w:val="ListParagraph"/>
        <w:numPr>
          <w:ilvl w:val="0"/>
          <w:numId w:val="24"/>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b/>
          <w:sz w:val="32"/>
          <w:szCs w:val="32"/>
        </w:rPr>
      </w:pPr>
      <w:r>
        <w:rPr>
          <w:rFonts w:ascii="Times New Roman" w:hAnsi="Times New Roman"/>
          <w:sz w:val="28"/>
          <w:szCs w:val="28"/>
        </w:rPr>
        <w:t xml:space="preserve">The aforementioned attempts at redirection while ignoring their obligation to </w:t>
      </w:r>
      <w:r w:rsidR="00A451CE">
        <w:rPr>
          <w:rFonts w:ascii="Times New Roman" w:hAnsi="Times New Roman"/>
          <w:sz w:val="28"/>
          <w:szCs w:val="28"/>
        </w:rPr>
        <w:t>produce evidence that they did not break GA Law OCGA</w:t>
      </w:r>
      <w:r w:rsidR="00A451CE" w:rsidRPr="00C43C34">
        <w:rPr>
          <w:rFonts w:ascii="Times New Roman" w:hAnsi="Times New Roman"/>
          <w:sz w:val="28"/>
          <w:szCs w:val="28"/>
        </w:rPr>
        <w:t>§</w:t>
      </w:r>
      <w:r w:rsidR="00A451CE">
        <w:rPr>
          <w:rFonts w:ascii="Times New Roman" w:hAnsi="Times New Roman"/>
          <w:sz w:val="28"/>
          <w:szCs w:val="28"/>
        </w:rPr>
        <w:t xml:space="preserve"> 44 – 14 – 162.2 (a-c)  </w:t>
      </w:r>
      <w:r w:rsidR="00A451CE">
        <w:rPr>
          <w:rFonts w:ascii="Times New Roman" w:hAnsi="Times New Roman"/>
          <w:sz w:val="28"/>
          <w:szCs w:val="28"/>
        </w:rPr>
        <w:lastRenderedPageBreak/>
        <w:t xml:space="preserve">as alleged by the Plaintiff and ordered by DEKALB Superior Court Judge, Tangela Barrie proves that they cannot provide such evidence - now or in the future. </w:t>
      </w:r>
    </w:p>
    <w:p w:rsidR="00A451CE" w:rsidRPr="00A451CE" w:rsidRDefault="00A451CE" w:rsidP="000B1955">
      <w:pPr>
        <w:pStyle w:val="ListParagraph"/>
        <w:numPr>
          <w:ilvl w:val="0"/>
          <w:numId w:val="24"/>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b/>
          <w:sz w:val="32"/>
          <w:szCs w:val="32"/>
        </w:rPr>
      </w:pPr>
    </w:p>
    <w:p w:rsidR="00C63C72" w:rsidRPr="000B1955" w:rsidRDefault="000B1955" w:rsidP="000B1955">
      <w:pPr>
        <w:pStyle w:val="ListParagraph"/>
        <w:numPr>
          <w:ilvl w:val="0"/>
          <w:numId w:val="24"/>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b/>
          <w:sz w:val="32"/>
          <w:szCs w:val="32"/>
        </w:rPr>
      </w:pPr>
      <w:r w:rsidRPr="00C43C34">
        <w:rPr>
          <w:rFonts w:ascii="Times New Roman" w:hAnsi="Times New Roman"/>
          <w:sz w:val="28"/>
          <w:szCs w:val="28"/>
        </w:rPr>
        <w:br/>
      </w:r>
      <w:r w:rsidR="00C63C72" w:rsidRPr="000B1955">
        <w:rPr>
          <w:rFonts w:ascii="Times New Roman" w:hAnsi="Times New Roman"/>
          <w:b/>
          <w:sz w:val="32"/>
          <w:szCs w:val="32"/>
        </w:rPr>
        <w:t>STANDARD OF REVIEW</w:t>
      </w:r>
    </w:p>
    <w:p w:rsidR="00C63C72" w:rsidRPr="004904DA" w:rsidRDefault="00C63C72" w:rsidP="00C63C72">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4904DA">
        <w:rPr>
          <w:rFonts w:ascii="Times New Roman" w:hAnsi="Times New Roman"/>
          <w:sz w:val="28"/>
          <w:szCs w:val="28"/>
        </w:rPr>
        <w:t>Summary judgment is proper if “the pleadings, the discovery and disclosure</w:t>
      </w:r>
    </w:p>
    <w:p w:rsidR="00C63C72" w:rsidRPr="004904DA" w:rsidRDefault="00C63C72" w:rsidP="00C63C72">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4904DA">
        <w:rPr>
          <w:rFonts w:ascii="Times New Roman" w:hAnsi="Times New Roman"/>
          <w:sz w:val="28"/>
          <w:szCs w:val="28"/>
        </w:rPr>
        <w:t>materials on file, and any affidavits show that there is no genuine issue as to any</w:t>
      </w:r>
    </w:p>
    <w:p w:rsidR="00C63C72" w:rsidRPr="004904DA" w:rsidRDefault="00C63C72" w:rsidP="00C63C72">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4904DA">
        <w:rPr>
          <w:rFonts w:ascii="Times New Roman" w:hAnsi="Times New Roman"/>
          <w:sz w:val="28"/>
          <w:szCs w:val="28"/>
        </w:rPr>
        <w:t>material fact and that the movant is entitled to judgment as a matter of law.” Fed.</w:t>
      </w:r>
    </w:p>
    <w:p w:rsidR="00C63C72" w:rsidRPr="004904DA" w:rsidRDefault="00C63C72" w:rsidP="00C63C72">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4904DA">
        <w:rPr>
          <w:rFonts w:ascii="Times New Roman" w:hAnsi="Times New Roman"/>
          <w:sz w:val="28"/>
          <w:szCs w:val="28"/>
        </w:rPr>
        <w:t>R. Civ. P. 56(c). When the movant would bear the burden of proof at trial, the</w:t>
      </w:r>
    </w:p>
    <w:p w:rsidR="00C63C72" w:rsidRPr="004904DA" w:rsidRDefault="00C63C72" w:rsidP="00C63C72">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4904DA">
        <w:rPr>
          <w:rFonts w:ascii="Times New Roman" w:hAnsi="Times New Roman"/>
          <w:sz w:val="28"/>
          <w:szCs w:val="28"/>
        </w:rPr>
        <w:t>movant “must show affirmatively the absence of a genuine issue of material fact.”</w:t>
      </w:r>
    </w:p>
    <w:p w:rsidR="00C63C72" w:rsidRPr="004904DA" w:rsidRDefault="00C63C72" w:rsidP="00C63C72">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4904DA">
        <w:rPr>
          <w:rFonts w:ascii="Times New Roman" w:hAnsi="Times New Roman"/>
          <w:sz w:val="28"/>
          <w:szCs w:val="28"/>
        </w:rPr>
        <w:t>Fitzpatrick v. City of Atlanta, 2 F.3d 1112, 1115 (11th Cir. 1993) (quoting U.S. v. Four</w:t>
      </w:r>
      <w:r>
        <w:rPr>
          <w:rFonts w:ascii="Times New Roman" w:hAnsi="Times New Roman"/>
          <w:sz w:val="28"/>
          <w:szCs w:val="28"/>
        </w:rPr>
        <w:t xml:space="preserve"> </w:t>
      </w:r>
      <w:r w:rsidR="00A03F68">
        <w:rPr>
          <w:rFonts w:ascii="Times New Roman" w:hAnsi="Times New Roman"/>
          <w:sz w:val="28"/>
          <w:szCs w:val="28"/>
        </w:rPr>
        <w:t xml:space="preserve">  P</w:t>
      </w:r>
      <w:r w:rsidRPr="004904DA">
        <w:rPr>
          <w:rFonts w:ascii="Times New Roman" w:hAnsi="Times New Roman"/>
          <w:sz w:val="28"/>
          <w:szCs w:val="28"/>
        </w:rPr>
        <w:t>arcels of Real Property, 941 F.2d 1428, 1438 (11th Cir. 1991)). The movant “must</w:t>
      </w:r>
      <w:r w:rsidR="00A03F68">
        <w:rPr>
          <w:rFonts w:ascii="Times New Roman" w:hAnsi="Times New Roman"/>
          <w:sz w:val="28"/>
          <w:szCs w:val="28"/>
        </w:rPr>
        <w:t xml:space="preserve"> </w:t>
      </w:r>
      <w:r w:rsidRPr="004904DA">
        <w:rPr>
          <w:rFonts w:ascii="Times New Roman" w:hAnsi="Times New Roman"/>
          <w:sz w:val="28"/>
          <w:szCs w:val="28"/>
        </w:rPr>
        <w:t>show that, on all essential elements of its case on which it bears the burden of proof</w:t>
      </w:r>
      <w:r w:rsidR="00A03F68">
        <w:rPr>
          <w:rFonts w:ascii="Times New Roman" w:hAnsi="Times New Roman"/>
          <w:sz w:val="28"/>
          <w:szCs w:val="28"/>
        </w:rPr>
        <w:t xml:space="preserve">  </w:t>
      </w:r>
      <w:r w:rsidRPr="004904DA">
        <w:rPr>
          <w:rFonts w:ascii="Times New Roman" w:hAnsi="Times New Roman"/>
          <w:sz w:val="28"/>
          <w:szCs w:val="28"/>
        </w:rPr>
        <w:t>Case 1:07-cv-02736-CC</w:t>
      </w:r>
      <w:r w:rsidR="00A03F68">
        <w:rPr>
          <w:rFonts w:ascii="Times New Roman" w:hAnsi="Times New Roman"/>
          <w:sz w:val="28"/>
          <w:szCs w:val="28"/>
        </w:rPr>
        <w:t xml:space="preserve">, </w:t>
      </w:r>
      <w:r w:rsidRPr="004904DA">
        <w:rPr>
          <w:rFonts w:ascii="Times New Roman" w:hAnsi="Times New Roman"/>
          <w:sz w:val="28"/>
          <w:szCs w:val="28"/>
        </w:rPr>
        <w:t>Document 67</w:t>
      </w:r>
      <w:r w:rsidR="00A03F68">
        <w:rPr>
          <w:rFonts w:ascii="Times New Roman" w:hAnsi="Times New Roman"/>
          <w:sz w:val="28"/>
          <w:szCs w:val="28"/>
        </w:rPr>
        <w:t xml:space="preserve">, </w:t>
      </w:r>
      <w:r w:rsidRPr="004904DA">
        <w:rPr>
          <w:rFonts w:ascii="Times New Roman" w:hAnsi="Times New Roman"/>
          <w:sz w:val="28"/>
          <w:szCs w:val="28"/>
        </w:rPr>
        <w:t>Filed 09/16/2009</w:t>
      </w:r>
      <w:r w:rsidR="00A03F68">
        <w:rPr>
          <w:rFonts w:ascii="Times New Roman" w:hAnsi="Times New Roman"/>
          <w:sz w:val="28"/>
          <w:szCs w:val="28"/>
        </w:rPr>
        <w:t xml:space="preserve">, </w:t>
      </w:r>
      <w:r w:rsidRPr="004904DA">
        <w:rPr>
          <w:rFonts w:ascii="Times New Roman" w:hAnsi="Times New Roman"/>
          <w:sz w:val="28"/>
          <w:szCs w:val="28"/>
        </w:rPr>
        <w:t>Page 2 of 10</w:t>
      </w:r>
      <w:r w:rsidR="00A03F68">
        <w:rPr>
          <w:rFonts w:ascii="Times New Roman" w:hAnsi="Times New Roman"/>
          <w:sz w:val="28"/>
          <w:szCs w:val="28"/>
        </w:rPr>
        <w:t xml:space="preserve"> </w:t>
      </w:r>
      <w:r w:rsidRPr="004904DA">
        <w:rPr>
          <w:rFonts w:ascii="Times New Roman" w:hAnsi="Times New Roman"/>
          <w:sz w:val="28"/>
          <w:szCs w:val="28"/>
        </w:rPr>
        <w:t>at trial, no reasonable jury could find for the non-moving party.” Id. If the moving</w:t>
      </w:r>
      <w:r w:rsidR="00A03F68">
        <w:rPr>
          <w:rFonts w:ascii="Times New Roman" w:hAnsi="Times New Roman"/>
          <w:sz w:val="28"/>
          <w:szCs w:val="28"/>
        </w:rPr>
        <w:t xml:space="preserve"> </w:t>
      </w:r>
      <w:r w:rsidRPr="004904DA">
        <w:rPr>
          <w:rFonts w:ascii="Times New Roman" w:hAnsi="Times New Roman"/>
          <w:sz w:val="28"/>
          <w:szCs w:val="28"/>
        </w:rPr>
        <w:t>party fails to make this showing, then the motion must be denied and the court need</w:t>
      </w:r>
      <w:r w:rsidR="00A03F68">
        <w:rPr>
          <w:rFonts w:ascii="Times New Roman" w:hAnsi="Times New Roman"/>
          <w:sz w:val="28"/>
          <w:szCs w:val="28"/>
        </w:rPr>
        <w:t xml:space="preserve"> </w:t>
      </w:r>
      <w:r w:rsidRPr="004904DA">
        <w:rPr>
          <w:rFonts w:ascii="Times New Roman" w:hAnsi="Times New Roman"/>
          <w:sz w:val="28"/>
          <w:szCs w:val="28"/>
        </w:rPr>
        <w:t>not consider the non-movant’s response to the summary judgment motion.</w:t>
      </w:r>
      <w:r w:rsidR="00A03F68">
        <w:rPr>
          <w:rFonts w:ascii="Times New Roman" w:hAnsi="Times New Roman"/>
          <w:sz w:val="28"/>
          <w:szCs w:val="28"/>
        </w:rPr>
        <w:t xml:space="preserve"> </w:t>
      </w:r>
      <w:r w:rsidRPr="004904DA">
        <w:rPr>
          <w:rFonts w:ascii="Times New Roman" w:hAnsi="Times New Roman"/>
          <w:sz w:val="28"/>
          <w:szCs w:val="28"/>
        </w:rPr>
        <w:t>Fitzpatrick, 2 F.3d at 1116. If, however, the movant satisfies this initial burden, the</w:t>
      </w:r>
      <w:r w:rsidR="00A03F68">
        <w:rPr>
          <w:rFonts w:ascii="Times New Roman" w:hAnsi="Times New Roman"/>
          <w:sz w:val="28"/>
          <w:szCs w:val="28"/>
        </w:rPr>
        <w:t xml:space="preserve"> </w:t>
      </w:r>
      <w:r w:rsidRPr="004904DA">
        <w:rPr>
          <w:rFonts w:ascii="Times New Roman" w:hAnsi="Times New Roman"/>
          <w:sz w:val="28"/>
          <w:szCs w:val="28"/>
        </w:rPr>
        <w:t xml:space="preserve">non-movant must “come forward with evidence sufficient to call into </w:t>
      </w:r>
      <w:r w:rsidRPr="004904DA">
        <w:rPr>
          <w:rFonts w:ascii="Times New Roman" w:hAnsi="Times New Roman"/>
          <w:sz w:val="28"/>
          <w:szCs w:val="28"/>
        </w:rPr>
        <w:lastRenderedPageBreak/>
        <w:t>question the</w:t>
      </w:r>
      <w:r w:rsidR="00A03F68">
        <w:rPr>
          <w:rFonts w:ascii="Times New Roman" w:hAnsi="Times New Roman"/>
          <w:sz w:val="28"/>
          <w:szCs w:val="28"/>
        </w:rPr>
        <w:t xml:space="preserve"> </w:t>
      </w:r>
      <w:r w:rsidRPr="004904DA">
        <w:rPr>
          <w:rFonts w:ascii="Times New Roman" w:hAnsi="Times New Roman"/>
          <w:sz w:val="28"/>
          <w:szCs w:val="28"/>
        </w:rPr>
        <w:t>inference created by the movant’s evidence on the particular material fact.” Id.</w:t>
      </w:r>
    </w:p>
    <w:p w:rsidR="00C63C72" w:rsidRPr="00B37D72" w:rsidRDefault="00C63C72" w:rsidP="00C63C72">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4904DA">
        <w:rPr>
          <w:rFonts w:ascii="Times New Roman" w:hAnsi="Times New Roman"/>
          <w:sz w:val="28"/>
          <w:szCs w:val="28"/>
        </w:rPr>
        <w:t>However, Rule 56, “[b]y its very</w:t>
      </w:r>
      <w:r w:rsidR="00A03F68">
        <w:rPr>
          <w:rFonts w:ascii="Times New Roman" w:hAnsi="Times New Roman"/>
          <w:sz w:val="28"/>
          <w:szCs w:val="28"/>
        </w:rPr>
        <w:t xml:space="preserve"> </w:t>
      </w:r>
      <w:r w:rsidRPr="004904DA">
        <w:rPr>
          <w:rFonts w:ascii="Times New Roman" w:hAnsi="Times New Roman"/>
          <w:sz w:val="28"/>
          <w:szCs w:val="28"/>
        </w:rPr>
        <w:t>terms, . . . provides that the mere existence of some alleged factual dispute between</w:t>
      </w:r>
      <w:r w:rsidR="00A03F68">
        <w:rPr>
          <w:rFonts w:ascii="Times New Roman" w:hAnsi="Times New Roman"/>
          <w:sz w:val="28"/>
          <w:szCs w:val="28"/>
        </w:rPr>
        <w:t xml:space="preserve"> </w:t>
      </w:r>
      <w:r w:rsidRPr="004904DA">
        <w:rPr>
          <w:rFonts w:ascii="Times New Roman" w:hAnsi="Times New Roman"/>
          <w:sz w:val="28"/>
          <w:szCs w:val="28"/>
        </w:rPr>
        <w:t>the parties will not defeat an otherwise properly supported motion for summary</w:t>
      </w:r>
      <w:r w:rsidR="00A03F68">
        <w:rPr>
          <w:rFonts w:ascii="Times New Roman" w:hAnsi="Times New Roman"/>
          <w:sz w:val="28"/>
          <w:szCs w:val="28"/>
        </w:rPr>
        <w:t xml:space="preserve"> </w:t>
      </w:r>
      <w:r w:rsidRPr="004904DA">
        <w:rPr>
          <w:rFonts w:ascii="Times New Roman" w:hAnsi="Times New Roman"/>
          <w:sz w:val="28"/>
          <w:szCs w:val="28"/>
        </w:rPr>
        <w:t>judgment, the requirement is that there be no genuine issue of material fact.”</w:t>
      </w:r>
      <w:r w:rsidR="00A03F68">
        <w:rPr>
          <w:rFonts w:ascii="Times New Roman" w:hAnsi="Times New Roman"/>
          <w:sz w:val="28"/>
          <w:szCs w:val="28"/>
        </w:rPr>
        <w:t xml:space="preserve"> </w:t>
      </w:r>
      <w:r w:rsidRPr="004904DA">
        <w:rPr>
          <w:rFonts w:ascii="Times New Roman" w:hAnsi="Times New Roman"/>
          <w:sz w:val="28"/>
          <w:szCs w:val="28"/>
        </w:rPr>
        <w:t>Anderson v. Liberty Lobby, Inc., 477 U.S. 242, 247-48 (1986) (emphasis in original).</w:t>
      </w:r>
      <w:r w:rsidR="00A03F68">
        <w:rPr>
          <w:rFonts w:ascii="Times New Roman" w:hAnsi="Times New Roman"/>
          <w:sz w:val="28"/>
          <w:szCs w:val="28"/>
        </w:rPr>
        <w:t xml:space="preserve"> </w:t>
      </w:r>
      <w:r w:rsidRPr="004904DA">
        <w:rPr>
          <w:rFonts w:ascii="Times New Roman" w:hAnsi="Times New Roman"/>
          <w:sz w:val="28"/>
          <w:szCs w:val="28"/>
        </w:rPr>
        <w:t>The non-movant may not “rely merely on the mere allegations or denials of the</w:t>
      </w:r>
      <w:r w:rsidR="00A03F68">
        <w:rPr>
          <w:rFonts w:ascii="Times New Roman" w:hAnsi="Times New Roman"/>
          <w:sz w:val="28"/>
          <w:szCs w:val="28"/>
        </w:rPr>
        <w:t xml:space="preserve"> </w:t>
      </w:r>
      <w:r w:rsidRPr="004904DA">
        <w:rPr>
          <w:rFonts w:ascii="Times New Roman" w:hAnsi="Times New Roman"/>
          <w:sz w:val="28"/>
          <w:szCs w:val="28"/>
        </w:rPr>
        <w:t>[non-movant’s] pleading; rather, its response must – by affidavits or as otherwise</w:t>
      </w:r>
      <w:r w:rsidR="00A03F68">
        <w:rPr>
          <w:rFonts w:ascii="Times New Roman" w:hAnsi="Times New Roman"/>
          <w:sz w:val="28"/>
          <w:szCs w:val="28"/>
        </w:rPr>
        <w:t xml:space="preserve"> </w:t>
      </w:r>
      <w:r w:rsidRPr="004904DA">
        <w:rPr>
          <w:rFonts w:ascii="Times New Roman" w:hAnsi="Times New Roman"/>
          <w:sz w:val="28"/>
          <w:szCs w:val="28"/>
        </w:rPr>
        <w:t>provided in this rule – set forth specific facts showing a genuine issue for trial.” Fed.</w:t>
      </w:r>
      <w:r w:rsidR="00A03F68">
        <w:rPr>
          <w:rFonts w:ascii="Times New Roman" w:hAnsi="Times New Roman"/>
          <w:sz w:val="28"/>
          <w:szCs w:val="28"/>
        </w:rPr>
        <w:t xml:space="preserve"> </w:t>
      </w:r>
      <w:r w:rsidRPr="004904DA">
        <w:rPr>
          <w:rFonts w:ascii="Times New Roman" w:hAnsi="Times New Roman"/>
          <w:sz w:val="28"/>
          <w:szCs w:val="28"/>
        </w:rPr>
        <w:t>R. Civ. P. 56(e). An issue is not genuine if it is created by evidence that is “merely</w:t>
      </w:r>
      <w:r w:rsidR="00A03F68">
        <w:rPr>
          <w:rFonts w:ascii="Times New Roman" w:hAnsi="Times New Roman"/>
          <w:sz w:val="28"/>
          <w:szCs w:val="28"/>
        </w:rPr>
        <w:t xml:space="preserve"> </w:t>
      </w:r>
      <w:r w:rsidRPr="004904DA">
        <w:rPr>
          <w:rFonts w:ascii="Times New Roman" w:hAnsi="Times New Roman"/>
          <w:sz w:val="28"/>
          <w:szCs w:val="28"/>
        </w:rPr>
        <w:t>colorable” or is “not significantly probative.”</w:t>
      </w:r>
      <w:r w:rsidR="00A03F68">
        <w:rPr>
          <w:rFonts w:ascii="Times New Roman" w:hAnsi="Times New Roman"/>
          <w:sz w:val="28"/>
          <w:szCs w:val="28"/>
        </w:rPr>
        <w:t xml:space="preserve"> </w:t>
      </w:r>
      <w:r w:rsidRPr="004904DA">
        <w:rPr>
          <w:rFonts w:ascii="Times New Roman" w:hAnsi="Times New Roman"/>
          <w:sz w:val="28"/>
          <w:szCs w:val="28"/>
        </w:rPr>
        <w:t>Substantive law will identify which facts are material. Id. at 248.</w:t>
      </w:r>
      <w:r w:rsidR="00A03F68">
        <w:rPr>
          <w:rFonts w:ascii="Times New Roman" w:hAnsi="Times New Roman"/>
          <w:sz w:val="28"/>
          <w:szCs w:val="28"/>
        </w:rPr>
        <w:t xml:space="preserve">  </w:t>
      </w:r>
      <w:r w:rsidRPr="004904DA">
        <w:rPr>
          <w:rFonts w:ascii="Times New Roman" w:hAnsi="Times New Roman"/>
          <w:sz w:val="28"/>
          <w:szCs w:val="28"/>
        </w:rPr>
        <w:t>Anderson, 477 U.S. at 249-50.</w:t>
      </w:r>
    </w:p>
    <w:p w:rsidR="007D5D6D" w:rsidRPr="007D5D6D" w:rsidRDefault="007D5D6D" w:rsidP="007D5D6D">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jc w:val="center"/>
        <w:rPr>
          <w:rFonts w:ascii="Times New Roman" w:eastAsia="Times New Roman" w:hAnsi="Times New Roman"/>
          <w:b/>
          <w:color w:val="000000"/>
          <w:sz w:val="32"/>
          <w:szCs w:val="32"/>
        </w:rPr>
      </w:pPr>
      <w:r w:rsidRPr="007D5D6D">
        <w:rPr>
          <w:rFonts w:ascii="Times New Roman" w:eastAsia="Times New Roman" w:hAnsi="Times New Roman"/>
          <w:b/>
          <w:color w:val="000000"/>
          <w:sz w:val="32"/>
          <w:szCs w:val="32"/>
        </w:rPr>
        <w:t>CONCLUSION</w:t>
      </w:r>
    </w:p>
    <w:p w:rsidR="007D5D6D" w:rsidRPr="007D5D6D" w:rsidRDefault="007D5D6D" w:rsidP="007D5D6D">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eastAsia="Times New Roman" w:hAnsi="Times New Roman"/>
          <w:color w:val="000000"/>
          <w:sz w:val="27"/>
          <w:szCs w:val="27"/>
        </w:rPr>
      </w:pPr>
      <w:r w:rsidRPr="007D5D6D">
        <w:rPr>
          <w:rFonts w:ascii="Times New Roman" w:eastAsia="Times New Roman" w:hAnsi="Times New Roman"/>
          <w:color w:val="000000"/>
          <w:sz w:val="27"/>
          <w:szCs w:val="27"/>
        </w:rPr>
        <w:t xml:space="preserve">For all of the foregoing reasons, </w:t>
      </w:r>
      <w:r>
        <w:rPr>
          <w:rFonts w:ascii="Times New Roman" w:eastAsia="Times New Roman" w:hAnsi="Times New Roman"/>
          <w:color w:val="000000"/>
          <w:sz w:val="27"/>
          <w:szCs w:val="27"/>
        </w:rPr>
        <w:t>PLAINTIFF</w:t>
      </w:r>
      <w:r w:rsidRPr="007D5D6D">
        <w:rPr>
          <w:rFonts w:ascii="Times New Roman" w:eastAsia="Times New Roman" w:hAnsi="Times New Roman"/>
          <w:color w:val="000000"/>
          <w:sz w:val="27"/>
          <w:szCs w:val="27"/>
        </w:rPr>
        <w:t xml:space="preserve"> respectfully submit</w:t>
      </w:r>
      <w:r>
        <w:rPr>
          <w:rFonts w:ascii="Times New Roman" w:eastAsia="Times New Roman" w:hAnsi="Times New Roman"/>
          <w:color w:val="000000"/>
          <w:sz w:val="27"/>
          <w:szCs w:val="27"/>
        </w:rPr>
        <w:t>s that he is</w:t>
      </w:r>
      <w:r w:rsidRPr="007D5D6D">
        <w:rPr>
          <w:rFonts w:ascii="Times New Roman" w:eastAsia="Times New Roman" w:hAnsi="Times New Roman"/>
          <w:color w:val="000000"/>
          <w:sz w:val="27"/>
          <w:szCs w:val="27"/>
        </w:rPr>
        <w:t xml:space="preserve"> entitled to summary judgment a</w:t>
      </w:r>
      <w:r>
        <w:rPr>
          <w:rFonts w:ascii="Times New Roman" w:eastAsia="Times New Roman" w:hAnsi="Times New Roman"/>
          <w:color w:val="000000"/>
          <w:sz w:val="27"/>
          <w:szCs w:val="27"/>
        </w:rPr>
        <w:t xml:space="preserve">nd </w:t>
      </w:r>
      <w:r w:rsidR="00924C93">
        <w:rPr>
          <w:rFonts w:ascii="Times New Roman" w:eastAsia="Times New Roman" w:hAnsi="Times New Roman"/>
          <w:color w:val="000000"/>
          <w:sz w:val="27"/>
          <w:szCs w:val="27"/>
        </w:rPr>
        <w:t>the</w:t>
      </w:r>
      <w:r>
        <w:rPr>
          <w:rFonts w:ascii="Times New Roman" w:eastAsia="Times New Roman" w:hAnsi="Times New Roman"/>
          <w:color w:val="000000"/>
          <w:sz w:val="27"/>
          <w:szCs w:val="27"/>
        </w:rPr>
        <w:t xml:space="preserve"> following:</w:t>
      </w:r>
    </w:p>
    <w:p w:rsidR="00CD2235" w:rsidRPr="001A3D7C" w:rsidRDefault="00924C93" w:rsidP="007D5D6D">
      <w:pPr>
        <w:pStyle w:val="ListParagraph"/>
        <w:numPr>
          <w:ilvl w:val="0"/>
          <w:numId w:val="25"/>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eastAsia="Times New Roman" w:hAnsi="Times New Roman"/>
          <w:color w:val="000000"/>
          <w:sz w:val="27"/>
          <w:szCs w:val="27"/>
        </w:rPr>
        <w:t>Injunctive and declaratory relief p</w:t>
      </w:r>
      <w:r w:rsidR="007D5D6D" w:rsidRPr="007D5D6D">
        <w:rPr>
          <w:rFonts w:ascii="Times New Roman" w:eastAsia="Times New Roman" w:hAnsi="Times New Roman"/>
          <w:color w:val="000000"/>
          <w:sz w:val="27"/>
          <w:szCs w:val="27"/>
        </w:rPr>
        <w:t xml:space="preserve">ermanently enjoining DEFENDANTS from foreclosing </w:t>
      </w:r>
      <w:r w:rsidR="006B2712">
        <w:rPr>
          <w:rFonts w:ascii="Times New Roman" w:eastAsia="Times New Roman" w:hAnsi="Times New Roman"/>
          <w:color w:val="000000"/>
          <w:sz w:val="27"/>
          <w:szCs w:val="27"/>
        </w:rPr>
        <w:t>or any collection</w:t>
      </w:r>
      <w:r w:rsidR="00006AE9">
        <w:rPr>
          <w:rFonts w:ascii="Times New Roman" w:eastAsia="Times New Roman" w:hAnsi="Times New Roman"/>
          <w:color w:val="000000"/>
          <w:sz w:val="27"/>
          <w:szCs w:val="27"/>
        </w:rPr>
        <w:t xml:space="preserve"> of alleged debt</w:t>
      </w:r>
      <w:r w:rsidR="006B2712">
        <w:rPr>
          <w:rFonts w:ascii="Times New Roman" w:eastAsia="Times New Roman" w:hAnsi="Times New Roman"/>
          <w:color w:val="000000"/>
          <w:sz w:val="27"/>
          <w:szCs w:val="27"/>
        </w:rPr>
        <w:t xml:space="preserve"> </w:t>
      </w:r>
      <w:r w:rsidR="007D5D6D" w:rsidRPr="007D5D6D">
        <w:rPr>
          <w:rFonts w:ascii="Times New Roman" w:eastAsia="Times New Roman" w:hAnsi="Times New Roman"/>
          <w:color w:val="000000"/>
          <w:sz w:val="27"/>
          <w:szCs w:val="27"/>
        </w:rPr>
        <w:t>on SUBJECT PROPERTY.</w:t>
      </w:r>
    </w:p>
    <w:p w:rsidR="001A3D7C" w:rsidRPr="007D5D6D" w:rsidRDefault="00924C93" w:rsidP="007D5D6D">
      <w:pPr>
        <w:pStyle w:val="ListParagraph"/>
        <w:numPr>
          <w:ilvl w:val="0"/>
          <w:numId w:val="25"/>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eastAsia="Times New Roman" w:hAnsi="Times New Roman"/>
          <w:color w:val="000000"/>
          <w:sz w:val="27"/>
          <w:szCs w:val="27"/>
        </w:rPr>
        <w:t>Restorative relief ordering the Defendants to r</w:t>
      </w:r>
      <w:r w:rsidR="001A3D7C">
        <w:rPr>
          <w:rFonts w:ascii="Times New Roman" w:eastAsia="Times New Roman" w:hAnsi="Times New Roman"/>
          <w:color w:val="000000"/>
          <w:sz w:val="27"/>
          <w:szCs w:val="27"/>
        </w:rPr>
        <w:t xml:space="preserve">eturn to Plaintiff all monies </w:t>
      </w:r>
      <w:r>
        <w:rPr>
          <w:rFonts w:ascii="Times New Roman" w:eastAsia="Times New Roman" w:hAnsi="Times New Roman"/>
          <w:color w:val="000000"/>
          <w:sz w:val="27"/>
          <w:szCs w:val="27"/>
        </w:rPr>
        <w:t xml:space="preserve">collected by them under false pretence and </w:t>
      </w:r>
      <w:r w:rsidR="001A3D7C">
        <w:rPr>
          <w:rFonts w:ascii="Times New Roman" w:eastAsia="Times New Roman" w:hAnsi="Times New Roman"/>
          <w:color w:val="000000"/>
          <w:sz w:val="27"/>
          <w:szCs w:val="27"/>
        </w:rPr>
        <w:t xml:space="preserve">paid to them </w:t>
      </w:r>
      <w:r>
        <w:rPr>
          <w:rFonts w:ascii="Times New Roman" w:eastAsia="Times New Roman" w:hAnsi="Times New Roman"/>
          <w:color w:val="000000"/>
          <w:sz w:val="27"/>
          <w:szCs w:val="27"/>
        </w:rPr>
        <w:t xml:space="preserve">while Plaintiff he was </w:t>
      </w:r>
      <w:r w:rsidR="001A3D7C">
        <w:rPr>
          <w:rFonts w:ascii="Times New Roman" w:eastAsia="Times New Roman" w:hAnsi="Times New Roman"/>
          <w:color w:val="000000"/>
          <w:sz w:val="27"/>
          <w:szCs w:val="27"/>
        </w:rPr>
        <w:lastRenderedPageBreak/>
        <w:t xml:space="preserve">under the </w:t>
      </w:r>
      <w:r w:rsidR="006B2712">
        <w:rPr>
          <w:rFonts w:ascii="Times New Roman" w:eastAsia="Times New Roman" w:hAnsi="Times New Roman"/>
          <w:color w:val="000000"/>
          <w:sz w:val="27"/>
          <w:szCs w:val="27"/>
        </w:rPr>
        <w:t xml:space="preserve">induced </w:t>
      </w:r>
      <w:r w:rsidR="001A3D7C">
        <w:rPr>
          <w:rFonts w:ascii="Times New Roman" w:eastAsia="Times New Roman" w:hAnsi="Times New Roman"/>
          <w:color w:val="000000"/>
          <w:sz w:val="27"/>
          <w:szCs w:val="27"/>
        </w:rPr>
        <w:t>assumption that they were indeed the</w:t>
      </w:r>
      <w:r>
        <w:rPr>
          <w:rFonts w:ascii="Times New Roman" w:eastAsia="Times New Roman" w:hAnsi="Times New Roman"/>
          <w:color w:val="000000"/>
          <w:sz w:val="27"/>
          <w:szCs w:val="27"/>
        </w:rPr>
        <w:t xml:space="preserve"> secured creditor and holder in due course.</w:t>
      </w:r>
      <w:r w:rsidR="001A3D7C">
        <w:rPr>
          <w:rFonts w:ascii="Times New Roman" w:eastAsia="Times New Roman" w:hAnsi="Times New Roman"/>
          <w:color w:val="000000"/>
          <w:sz w:val="27"/>
          <w:szCs w:val="27"/>
        </w:rPr>
        <w:t xml:space="preserve"> </w:t>
      </w:r>
    </w:p>
    <w:p w:rsidR="007D5D6D" w:rsidRPr="007D5D6D" w:rsidRDefault="007D5D6D" w:rsidP="007D5D6D">
      <w:pPr>
        <w:pStyle w:val="ListParagraph"/>
        <w:numPr>
          <w:ilvl w:val="0"/>
          <w:numId w:val="25"/>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eastAsia="Times New Roman" w:hAnsi="Times New Roman"/>
          <w:color w:val="000000"/>
          <w:sz w:val="27"/>
          <w:szCs w:val="27"/>
        </w:rPr>
        <w:t xml:space="preserve">Granting of </w:t>
      </w:r>
      <w:r w:rsidR="00924C93">
        <w:rPr>
          <w:rFonts w:ascii="Times New Roman" w:eastAsia="Times New Roman" w:hAnsi="Times New Roman"/>
          <w:color w:val="000000"/>
          <w:sz w:val="27"/>
          <w:szCs w:val="27"/>
        </w:rPr>
        <w:t xml:space="preserve">other </w:t>
      </w:r>
      <w:r>
        <w:rPr>
          <w:rFonts w:ascii="Times New Roman" w:eastAsia="Times New Roman" w:hAnsi="Times New Roman"/>
          <w:color w:val="000000"/>
          <w:sz w:val="27"/>
          <w:szCs w:val="27"/>
        </w:rPr>
        <w:t xml:space="preserve">relief as deemed appropriate by the COURT </w:t>
      </w:r>
      <w:r w:rsidR="006B2712">
        <w:rPr>
          <w:rFonts w:ascii="Times New Roman" w:eastAsia="Times New Roman" w:hAnsi="Times New Roman"/>
          <w:color w:val="000000"/>
          <w:sz w:val="27"/>
          <w:szCs w:val="27"/>
        </w:rPr>
        <w:t>that takes in consideration damages done to the Plaintiff during the process of pursuing his lawful right to know the real creditor and holder in due course on SUBJECT PROPERTY</w:t>
      </w:r>
      <w:r w:rsidR="00087CF7">
        <w:rPr>
          <w:rFonts w:ascii="Times New Roman" w:eastAsia="Times New Roman" w:hAnsi="Times New Roman"/>
          <w:color w:val="000000"/>
          <w:sz w:val="27"/>
          <w:szCs w:val="27"/>
        </w:rPr>
        <w:t xml:space="preserve"> (as provided for both by GA Law and Fair Debt Credit Protection Act)</w:t>
      </w:r>
    </w:p>
    <w:p w:rsidR="00025BF4" w:rsidRPr="00025BF4" w:rsidRDefault="00924C93" w:rsidP="00932E32">
      <w:pPr>
        <w:pStyle w:val="ListParagraph"/>
        <w:numPr>
          <w:ilvl w:val="0"/>
          <w:numId w:val="25"/>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025BF4">
        <w:rPr>
          <w:rFonts w:ascii="Times New Roman" w:eastAsia="Times New Roman" w:hAnsi="Times New Roman"/>
          <w:color w:val="000000"/>
          <w:sz w:val="27"/>
          <w:szCs w:val="27"/>
        </w:rPr>
        <w:t xml:space="preserve">If the </w:t>
      </w:r>
      <w:r w:rsidR="00025BF4" w:rsidRPr="00025BF4">
        <w:rPr>
          <w:rFonts w:ascii="Times New Roman" w:eastAsia="Times New Roman" w:hAnsi="Times New Roman"/>
          <w:color w:val="000000"/>
          <w:sz w:val="27"/>
          <w:szCs w:val="27"/>
        </w:rPr>
        <w:t>Court deems it inappropriate to grant the aforementioned, Plaintiff believes it within his right and respectfully as</w:t>
      </w:r>
      <w:r w:rsidR="006B2712">
        <w:rPr>
          <w:rFonts w:ascii="Times New Roman" w:eastAsia="Times New Roman" w:hAnsi="Times New Roman"/>
          <w:color w:val="000000"/>
          <w:sz w:val="27"/>
          <w:szCs w:val="27"/>
        </w:rPr>
        <w:t>ks</w:t>
      </w:r>
      <w:r w:rsidR="00025BF4" w:rsidRPr="00025BF4">
        <w:rPr>
          <w:rFonts w:ascii="Times New Roman" w:eastAsia="Times New Roman" w:hAnsi="Times New Roman"/>
          <w:color w:val="000000"/>
          <w:sz w:val="27"/>
          <w:szCs w:val="27"/>
        </w:rPr>
        <w:t xml:space="preserve"> the court to accept our AMENDED COMPLAINT and reset the discovery calendar (four months) to begin in January</w:t>
      </w:r>
      <w:r w:rsidR="006B2712">
        <w:rPr>
          <w:rFonts w:ascii="Times New Roman" w:eastAsia="Times New Roman" w:hAnsi="Times New Roman"/>
          <w:color w:val="000000"/>
          <w:sz w:val="27"/>
          <w:szCs w:val="27"/>
        </w:rPr>
        <w:t>, 2010</w:t>
      </w:r>
      <w:r w:rsidR="00025BF4" w:rsidRPr="00025BF4">
        <w:rPr>
          <w:rFonts w:ascii="Times New Roman" w:eastAsia="Times New Roman" w:hAnsi="Times New Roman"/>
          <w:color w:val="000000"/>
          <w:sz w:val="27"/>
          <w:szCs w:val="27"/>
        </w:rPr>
        <w:t xml:space="preserve"> or when the Amended Complaint is accepted.  </w:t>
      </w:r>
    </w:p>
    <w:p w:rsidR="00025BF4" w:rsidRPr="00025BF4" w:rsidRDefault="00025BF4" w:rsidP="00025BF4">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720" w:right="-576"/>
        <w:rPr>
          <w:rFonts w:ascii="Times New Roman" w:hAnsi="Times New Roman"/>
          <w:sz w:val="28"/>
          <w:szCs w:val="28"/>
        </w:rPr>
      </w:pPr>
    </w:p>
    <w:p w:rsidR="002D0354" w:rsidRPr="00025BF4" w:rsidRDefault="002D0354" w:rsidP="00025BF4">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720" w:right="-576"/>
        <w:rPr>
          <w:rFonts w:ascii="Times New Roman" w:hAnsi="Times New Roman"/>
          <w:sz w:val="28"/>
          <w:szCs w:val="28"/>
        </w:rPr>
      </w:pPr>
      <w:r w:rsidRPr="00025BF4">
        <w:rPr>
          <w:rFonts w:ascii="Times New Roman" w:hAnsi="Times New Roman"/>
          <w:sz w:val="28"/>
          <w:szCs w:val="28"/>
        </w:rPr>
        <w:t>Submitted this __________ day of ________, 2010</w:t>
      </w:r>
    </w:p>
    <w:p w:rsidR="002D0354" w:rsidRPr="00452BFA" w:rsidRDefault="00BC63D1" w:rsidP="00BC63D1">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__________________________</w:t>
      </w:r>
    </w:p>
    <w:p w:rsidR="002D0354" w:rsidRDefault="002D0354" w:rsidP="00BC63D1">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jc w:val="right"/>
        <w:rPr>
          <w:rFonts w:ascii="Times New Roman" w:hAnsi="Times New Roman"/>
          <w:sz w:val="28"/>
          <w:szCs w:val="28"/>
        </w:rPr>
      </w:pPr>
      <w:r w:rsidRPr="00452BFA">
        <w:rPr>
          <w:rFonts w:ascii="Times New Roman" w:hAnsi="Times New Roman"/>
          <w:sz w:val="28"/>
          <w:szCs w:val="28"/>
        </w:rPr>
        <w:t>Wekesa O. Madzimoyo</w:t>
      </w:r>
    </w:p>
    <w:p w:rsidR="00BC63D1" w:rsidRDefault="00BC63D1" w:rsidP="00BC63D1">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Pro See Litigant</w:t>
      </w:r>
    </w:p>
    <w:p w:rsidR="002D0354" w:rsidRDefault="00BC63D1"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A1114"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852 Brafferton Place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A1114"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Stone Mountain, GA 30083</w:t>
      </w:r>
    </w:p>
    <w:p w:rsidR="009A1114" w:rsidRPr="00452BFA"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404-324-1310</w:t>
      </w:r>
    </w:p>
    <w:p w:rsidR="009A1114"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4"/>
        </w:rPr>
      </w:pPr>
    </w:p>
    <w:p w:rsidR="009A1114" w:rsidRDefault="009A1114" w:rsidP="00AA4438">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FD60F8" w:rsidRDefault="00FD60F8"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p>
    <w:p w:rsidR="007D5D6D" w:rsidRDefault="007D5D6D"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p>
    <w:p w:rsidR="007D5D6D" w:rsidRDefault="007D5D6D"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p>
    <w:p w:rsidR="00364244" w:rsidRPr="009A1114"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r w:rsidRPr="009A1114">
        <w:rPr>
          <w:rFonts w:ascii="Times New Roman" w:hAnsi="Times New Roman"/>
          <w:b/>
          <w:sz w:val="28"/>
          <w:szCs w:val="28"/>
          <w:u w:val="single"/>
        </w:rPr>
        <w:t>FONT VERIFICATION</w:t>
      </w:r>
    </w:p>
    <w:p w:rsidR="00014250"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sz w:val="28"/>
          <w:szCs w:val="28"/>
        </w:rPr>
      </w:pPr>
      <w:r>
        <w:rPr>
          <w:rFonts w:ascii="Times New Roman" w:hAnsi="Times New Roman"/>
          <w:sz w:val="28"/>
          <w:szCs w:val="28"/>
        </w:rPr>
        <w:t>Pro se Litigant, Wekesa Madzimoyo, certifies that this document has been prepared with one of the font and point selections approved by the Court in Local Rule 5.1C, namely Times New Roman (14 point).</w:t>
      </w:r>
    </w:p>
    <w:p w:rsidR="00014250"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sz w:val="28"/>
          <w:szCs w:val="28"/>
        </w:rPr>
      </w:pPr>
    </w:p>
    <w:p w:rsidR="00014250"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sz w:val="28"/>
          <w:szCs w:val="28"/>
        </w:rPr>
      </w:pPr>
    </w:p>
    <w:p w:rsidR="00014250" w:rsidRPr="00014250"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w:t>
      </w:r>
    </w:p>
    <w:p w:rsidR="007B4C18" w:rsidRPr="009A1114"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
        <w:rPr>
          <w:rFonts w:ascii="Times New Roman" w:hAnsi="Times New Roman"/>
          <w:sz w:val="28"/>
          <w:szCs w:val="28"/>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9A1114">
        <w:rPr>
          <w:rFonts w:ascii="Times New Roman" w:hAnsi="Times New Roman"/>
          <w:sz w:val="28"/>
          <w:szCs w:val="28"/>
        </w:rPr>
        <w:t>Wekesa O. Madzimoyo</w:t>
      </w:r>
    </w:p>
    <w:p w:rsidR="00014250" w:rsidRPr="009A1114"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
        <w:rPr>
          <w:rFonts w:ascii="Times New Roman" w:hAnsi="Times New Roman"/>
          <w:sz w:val="28"/>
          <w:szCs w:val="28"/>
        </w:rPr>
      </w:pP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t>Pro se Litigant</w:t>
      </w:r>
    </w:p>
    <w:p w:rsidR="00F76625" w:rsidRPr="009A1114" w:rsidRDefault="00F76625"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F76625" w:rsidRPr="00065A86" w:rsidRDefault="00F76625"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4"/>
        </w:rPr>
      </w:pPr>
      <w:r>
        <w:rPr>
          <w:rFonts w:ascii="Times New Roman" w:hAnsi="Times New Roman"/>
          <w:sz w:val="24"/>
        </w:rPr>
        <w:tab/>
      </w: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014250" w:rsidRPr="009A1114" w:rsidRDefault="00014250" w:rsidP="00014250">
      <w:pPr>
        <w:spacing w:line="480" w:lineRule="auto"/>
        <w:jc w:val="center"/>
        <w:rPr>
          <w:rFonts w:ascii="Times New Roman" w:hAnsi="Times New Roman"/>
          <w:b/>
          <w:sz w:val="28"/>
          <w:szCs w:val="28"/>
          <w:u w:val="single"/>
        </w:rPr>
      </w:pPr>
      <w:r w:rsidRPr="009A1114">
        <w:rPr>
          <w:rFonts w:ascii="Times New Roman" w:hAnsi="Times New Roman"/>
          <w:b/>
          <w:sz w:val="28"/>
          <w:szCs w:val="28"/>
          <w:u w:val="single"/>
        </w:rPr>
        <w:t>CERTIFICATE OF SERVICE</w:t>
      </w:r>
    </w:p>
    <w:p w:rsidR="00014250" w:rsidRDefault="00D65ACF" w:rsidP="00932E32">
      <w:pPr>
        <w:spacing w:line="480" w:lineRule="auto"/>
        <w:rPr>
          <w:rFonts w:ascii="Times New Roman" w:hAnsi="Times New Roman"/>
          <w:sz w:val="28"/>
          <w:szCs w:val="28"/>
        </w:rPr>
      </w:pPr>
      <w:r w:rsidRPr="00D65ACF">
        <w:rPr>
          <w:rFonts w:ascii="Times New Roman" w:hAnsi="Times New Roman"/>
          <w:noProof/>
          <w:sz w:val="28"/>
          <w:szCs w:val="28"/>
          <w:u w:val="single"/>
          <w:lang w:eastAsia="zh-TW"/>
        </w:rPr>
        <w:pict>
          <v:shape id="_x0000_s1030" type="#_x0000_t202" style="position:absolute;margin-left:4.7pt;margin-top:107.8pt;width:186.35pt;height:116.95pt;z-index:251658752;mso-width-percent:400;mso-height-percent:200;mso-width-percent:400;mso-height-percent:200;mso-width-relative:margin;mso-height-relative:margin">
            <v:textbox style="mso-fit-shape-to-text:t">
              <w:txbxContent>
                <w:p w:rsidR="0037553F" w:rsidRDefault="0037553F" w:rsidP="00014250">
                  <w:pPr>
                    <w:spacing w:line="240" w:lineRule="auto"/>
                    <w:contextualSpacing/>
                    <w:rPr>
                      <w:rFonts w:ascii="Times New Roman" w:hAnsi="Times New Roman"/>
                      <w:sz w:val="28"/>
                      <w:szCs w:val="28"/>
                    </w:rPr>
                  </w:pPr>
                  <w:r>
                    <w:rPr>
                      <w:rFonts w:ascii="Times New Roman" w:hAnsi="Times New Roman"/>
                      <w:sz w:val="28"/>
                      <w:szCs w:val="28"/>
                    </w:rPr>
                    <w:t>Frank R. Olson, Esq.</w:t>
                  </w:r>
                </w:p>
                <w:p w:rsidR="0037553F" w:rsidRDefault="0037553F" w:rsidP="00014250">
                  <w:pPr>
                    <w:spacing w:line="240" w:lineRule="auto"/>
                    <w:contextualSpacing/>
                    <w:rPr>
                      <w:rFonts w:ascii="Times New Roman" w:hAnsi="Times New Roman"/>
                      <w:sz w:val="28"/>
                      <w:szCs w:val="28"/>
                    </w:rPr>
                  </w:pPr>
                </w:p>
                <w:p w:rsidR="0037553F" w:rsidRDefault="0037553F" w:rsidP="00014250">
                  <w:pPr>
                    <w:spacing w:line="240" w:lineRule="auto"/>
                    <w:contextualSpacing/>
                    <w:rPr>
                      <w:rFonts w:ascii="Times New Roman" w:hAnsi="Times New Roman"/>
                      <w:sz w:val="28"/>
                      <w:szCs w:val="28"/>
                    </w:rPr>
                  </w:pPr>
                  <w:r>
                    <w:rPr>
                      <w:rFonts w:ascii="Times New Roman" w:hAnsi="Times New Roman"/>
                      <w:sz w:val="28"/>
                      <w:szCs w:val="28"/>
                    </w:rPr>
                    <w:t>McCurdy &amp; Candler, LLC</w:t>
                  </w:r>
                </w:p>
                <w:p w:rsidR="0037553F" w:rsidRDefault="0037553F" w:rsidP="00014250">
                  <w:pPr>
                    <w:spacing w:line="240" w:lineRule="auto"/>
                    <w:contextualSpacing/>
                    <w:rPr>
                      <w:rFonts w:ascii="Times New Roman" w:hAnsi="Times New Roman"/>
                      <w:sz w:val="28"/>
                      <w:szCs w:val="28"/>
                    </w:rPr>
                  </w:pPr>
                  <w:r>
                    <w:rPr>
                      <w:rFonts w:ascii="Times New Roman" w:hAnsi="Times New Roman"/>
                      <w:sz w:val="28"/>
                      <w:szCs w:val="28"/>
                    </w:rPr>
                    <w:t>P.O. Box 57</w:t>
                  </w:r>
                </w:p>
                <w:p w:rsidR="0037553F" w:rsidRDefault="0037553F" w:rsidP="00014250">
                  <w:pPr>
                    <w:spacing w:line="240" w:lineRule="auto"/>
                    <w:contextualSpacing/>
                    <w:rPr>
                      <w:rFonts w:ascii="Times New Roman" w:hAnsi="Times New Roman"/>
                      <w:sz w:val="28"/>
                      <w:szCs w:val="28"/>
                    </w:rPr>
                  </w:pPr>
                  <w:r>
                    <w:rPr>
                      <w:rFonts w:ascii="Times New Roman" w:hAnsi="Times New Roman"/>
                      <w:sz w:val="28"/>
                      <w:szCs w:val="28"/>
                    </w:rPr>
                    <w:t>Decatur, GA 30031</w:t>
                  </w:r>
                </w:p>
                <w:p w:rsidR="0037553F" w:rsidRPr="009A1114" w:rsidRDefault="0037553F">
                  <w:pPr>
                    <w:rPr>
                      <w:rFonts w:ascii="Times New Roman" w:hAnsi="Times New Roman"/>
                      <w:sz w:val="28"/>
                      <w:szCs w:val="28"/>
                    </w:rPr>
                  </w:pPr>
                  <w:r w:rsidRPr="009A1114">
                    <w:rPr>
                      <w:rFonts w:ascii="Times New Roman" w:hAnsi="Times New Roman"/>
                      <w:sz w:val="28"/>
                      <w:szCs w:val="28"/>
                    </w:rPr>
                    <w:t>404-373-1612</w:t>
                  </w:r>
                </w:p>
              </w:txbxContent>
            </v:textbox>
          </v:shape>
        </w:pict>
      </w:r>
      <w:r w:rsidR="00014250">
        <w:tab/>
      </w:r>
      <w:r w:rsidR="00014250">
        <w:rPr>
          <w:sz w:val="28"/>
          <w:szCs w:val="28"/>
        </w:rPr>
        <w:t>I</w:t>
      </w:r>
      <w:r w:rsidR="00014250">
        <w:rPr>
          <w:rFonts w:ascii="Times New Roman" w:hAnsi="Times New Roman"/>
          <w:sz w:val="28"/>
          <w:szCs w:val="28"/>
        </w:rPr>
        <w:t xml:space="preserve"> hereby certify that I have served the foregoing on the following by electronic mail or by placing a copy of the same in the United States mail, postage prepaid and properly addressed, this the 26</w:t>
      </w:r>
      <w:r w:rsidR="00014250" w:rsidRPr="00014250">
        <w:rPr>
          <w:rFonts w:ascii="Times New Roman" w:hAnsi="Times New Roman"/>
          <w:sz w:val="28"/>
          <w:szCs w:val="28"/>
          <w:vertAlign w:val="superscript"/>
        </w:rPr>
        <w:t>th</w:t>
      </w:r>
      <w:r w:rsidR="00014250">
        <w:rPr>
          <w:rFonts w:ascii="Times New Roman" w:hAnsi="Times New Roman"/>
          <w:sz w:val="28"/>
          <w:szCs w:val="28"/>
        </w:rPr>
        <w:t xml:space="preserve"> day of October, 2010 to:</w:t>
      </w:r>
    </w:p>
    <w:p w:rsidR="00014250" w:rsidRPr="00014250" w:rsidRDefault="00D65ACF" w:rsidP="00932E32">
      <w:pPr>
        <w:spacing w:line="480" w:lineRule="auto"/>
        <w:rPr>
          <w:rFonts w:ascii="Times New Roman" w:hAnsi="Times New Roman"/>
          <w:sz w:val="28"/>
          <w:szCs w:val="28"/>
        </w:rPr>
      </w:pPr>
      <w:r w:rsidRPr="00D65ACF">
        <w:rPr>
          <w:noProof/>
          <w:lang w:eastAsia="zh-TW"/>
        </w:rPr>
        <w:pict>
          <v:shape id="_x0000_s1031" type="#_x0000_t202" style="position:absolute;margin-left:221.05pt;margin-top:-.35pt;width:186.35pt;height:227.25pt;z-index:251659776;mso-width-percent:400;mso-height-percent:200;mso-width-percent:400;mso-height-percent:200;mso-width-relative:margin;mso-height-relative:margin">
            <v:textbox style="mso-fit-shape-to-text:t">
              <w:txbxContent>
                <w:p w:rsidR="0037553F" w:rsidRDefault="0037553F" w:rsidP="00014250">
                  <w:pPr>
                    <w:spacing w:line="240" w:lineRule="auto"/>
                    <w:contextualSpacing/>
                    <w:rPr>
                      <w:rFonts w:ascii="Times New Roman" w:hAnsi="Times New Roman"/>
                      <w:sz w:val="28"/>
                      <w:szCs w:val="28"/>
                    </w:rPr>
                  </w:pPr>
                  <w:r w:rsidRPr="00014250">
                    <w:rPr>
                      <w:rFonts w:ascii="Times New Roman" w:hAnsi="Times New Roman"/>
                      <w:sz w:val="28"/>
                      <w:szCs w:val="28"/>
                    </w:rPr>
                    <w:t>Kelly L. Atkinson</w:t>
                  </w:r>
                </w:p>
                <w:p w:rsidR="0037553F" w:rsidRPr="00014250" w:rsidRDefault="0037553F" w:rsidP="00014250">
                  <w:pPr>
                    <w:spacing w:line="240" w:lineRule="auto"/>
                    <w:contextualSpacing/>
                    <w:rPr>
                      <w:rFonts w:ascii="Times New Roman" w:hAnsi="Times New Roman"/>
                      <w:sz w:val="28"/>
                      <w:szCs w:val="28"/>
                    </w:rPr>
                  </w:pPr>
                  <w:r>
                    <w:rPr>
                      <w:rFonts w:ascii="Times New Roman" w:hAnsi="Times New Roman"/>
                      <w:sz w:val="28"/>
                      <w:szCs w:val="28"/>
                    </w:rPr>
                    <w:t>Counsel for Defendants</w:t>
                  </w:r>
                </w:p>
                <w:p w:rsidR="0037553F" w:rsidRDefault="0037553F" w:rsidP="00014250">
                  <w:pPr>
                    <w:spacing w:line="240" w:lineRule="auto"/>
                    <w:contextualSpacing/>
                    <w:rPr>
                      <w:rFonts w:ascii="Times New Roman" w:hAnsi="Times New Roman"/>
                      <w:sz w:val="28"/>
                      <w:szCs w:val="28"/>
                    </w:rPr>
                  </w:pPr>
                  <w:r w:rsidRPr="00014250">
                    <w:rPr>
                      <w:rFonts w:ascii="Times New Roman" w:hAnsi="Times New Roman"/>
                      <w:sz w:val="28"/>
                      <w:szCs w:val="28"/>
                    </w:rPr>
                    <w:t xml:space="preserve">GMAC </w:t>
                  </w:r>
                  <w:r>
                    <w:rPr>
                      <w:rFonts w:ascii="Times New Roman" w:hAnsi="Times New Roman"/>
                      <w:sz w:val="28"/>
                      <w:szCs w:val="28"/>
                    </w:rPr>
                    <w:t>Mortgage LLC</w:t>
                  </w:r>
                </w:p>
                <w:p w:rsidR="0037553F" w:rsidRDefault="0037553F" w:rsidP="00014250">
                  <w:pPr>
                    <w:spacing w:line="240" w:lineRule="auto"/>
                    <w:contextualSpacing/>
                    <w:rPr>
                      <w:rFonts w:ascii="Times New Roman" w:hAnsi="Times New Roman"/>
                      <w:sz w:val="28"/>
                      <w:szCs w:val="28"/>
                    </w:rPr>
                  </w:pPr>
                  <w:r>
                    <w:rPr>
                      <w:rFonts w:ascii="Times New Roman" w:hAnsi="Times New Roman"/>
                      <w:sz w:val="28"/>
                      <w:szCs w:val="28"/>
                    </w:rPr>
                    <w:t>JP Morgan Chase Bank</w:t>
                  </w:r>
                </w:p>
                <w:p w:rsidR="0037553F" w:rsidRDefault="0037553F" w:rsidP="00014250">
                  <w:pPr>
                    <w:spacing w:line="240" w:lineRule="auto"/>
                    <w:contextualSpacing/>
                    <w:rPr>
                      <w:rFonts w:ascii="Times New Roman" w:hAnsi="Times New Roman"/>
                      <w:sz w:val="28"/>
                      <w:szCs w:val="28"/>
                    </w:rPr>
                  </w:pPr>
                  <w:r>
                    <w:rPr>
                      <w:rFonts w:ascii="Times New Roman" w:hAnsi="Times New Roman"/>
                      <w:sz w:val="28"/>
                      <w:szCs w:val="28"/>
                    </w:rPr>
                    <w:t>The Bank of New York Mellon Trust Company</w:t>
                  </w:r>
                </w:p>
                <w:p w:rsidR="0037553F" w:rsidRDefault="0037553F" w:rsidP="00014250">
                  <w:pPr>
                    <w:spacing w:line="240" w:lineRule="auto"/>
                    <w:contextualSpacing/>
                    <w:rPr>
                      <w:rFonts w:ascii="Times New Roman" w:hAnsi="Times New Roman"/>
                      <w:sz w:val="28"/>
                      <w:szCs w:val="28"/>
                    </w:rPr>
                  </w:pPr>
                </w:p>
                <w:p w:rsidR="0037553F" w:rsidRDefault="0037553F" w:rsidP="00014250">
                  <w:pPr>
                    <w:spacing w:line="240" w:lineRule="auto"/>
                    <w:contextualSpacing/>
                    <w:rPr>
                      <w:rFonts w:ascii="Times New Roman" w:hAnsi="Times New Roman"/>
                      <w:sz w:val="28"/>
                      <w:szCs w:val="28"/>
                    </w:rPr>
                  </w:pPr>
                  <w:r>
                    <w:rPr>
                      <w:rFonts w:ascii="Times New Roman" w:hAnsi="Times New Roman"/>
                      <w:sz w:val="28"/>
                      <w:szCs w:val="28"/>
                    </w:rPr>
                    <w:t>Troutman Sanders LLP</w:t>
                  </w:r>
                </w:p>
                <w:p w:rsidR="0037553F" w:rsidRDefault="0037553F" w:rsidP="00014250">
                  <w:pPr>
                    <w:spacing w:line="240" w:lineRule="auto"/>
                    <w:contextualSpacing/>
                    <w:rPr>
                      <w:rFonts w:ascii="Times New Roman" w:hAnsi="Times New Roman"/>
                      <w:sz w:val="28"/>
                      <w:szCs w:val="28"/>
                    </w:rPr>
                  </w:pPr>
                  <w:r>
                    <w:rPr>
                      <w:rFonts w:ascii="Times New Roman" w:hAnsi="Times New Roman"/>
                      <w:sz w:val="28"/>
                      <w:szCs w:val="28"/>
                    </w:rPr>
                    <w:t>5200 Bank of America Plaza</w:t>
                  </w:r>
                </w:p>
                <w:p w:rsidR="0037553F" w:rsidRDefault="0037553F" w:rsidP="00014250">
                  <w:pPr>
                    <w:spacing w:line="240" w:lineRule="auto"/>
                    <w:contextualSpacing/>
                    <w:rPr>
                      <w:rFonts w:ascii="Times New Roman" w:hAnsi="Times New Roman"/>
                      <w:sz w:val="28"/>
                      <w:szCs w:val="28"/>
                    </w:rPr>
                  </w:pPr>
                  <w:r>
                    <w:rPr>
                      <w:rFonts w:ascii="Times New Roman" w:hAnsi="Times New Roman"/>
                      <w:sz w:val="28"/>
                      <w:szCs w:val="28"/>
                    </w:rPr>
                    <w:t>600 Peachtree Street, N.E,</w:t>
                  </w:r>
                </w:p>
                <w:p w:rsidR="0037553F" w:rsidRDefault="0037553F" w:rsidP="00014250">
                  <w:pPr>
                    <w:spacing w:line="240" w:lineRule="auto"/>
                    <w:contextualSpacing/>
                    <w:rPr>
                      <w:rFonts w:ascii="Times New Roman" w:hAnsi="Times New Roman"/>
                      <w:sz w:val="28"/>
                      <w:szCs w:val="28"/>
                    </w:rPr>
                  </w:pPr>
                  <w:r>
                    <w:rPr>
                      <w:rFonts w:ascii="Times New Roman" w:hAnsi="Times New Roman"/>
                      <w:sz w:val="28"/>
                      <w:szCs w:val="28"/>
                    </w:rPr>
                    <w:t>Atlanta, GA 30308-2216</w:t>
                  </w:r>
                </w:p>
                <w:p w:rsidR="0037553F" w:rsidRDefault="0037553F" w:rsidP="00014250">
                  <w:pPr>
                    <w:spacing w:line="240" w:lineRule="auto"/>
                    <w:contextualSpacing/>
                    <w:rPr>
                      <w:rFonts w:ascii="Times New Roman" w:hAnsi="Times New Roman"/>
                      <w:sz w:val="28"/>
                      <w:szCs w:val="28"/>
                    </w:rPr>
                  </w:pPr>
                  <w:r>
                    <w:rPr>
                      <w:rFonts w:ascii="Times New Roman" w:hAnsi="Times New Roman"/>
                      <w:sz w:val="28"/>
                      <w:szCs w:val="28"/>
                    </w:rPr>
                    <w:t>404-885-3000</w:t>
                  </w:r>
                </w:p>
                <w:p w:rsidR="0037553F" w:rsidRPr="00014250" w:rsidRDefault="0037553F" w:rsidP="00014250">
                  <w:pPr>
                    <w:spacing w:line="240" w:lineRule="auto"/>
                    <w:contextualSpacing/>
                    <w:rPr>
                      <w:rFonts w:ascii="Times New Roman" w:hAnsi="Times New Roman"/>
                      <w:sz w:val="28"/>
                      <w:szCs w:val="28"/>
                    </w:rPr>
                  </w:pPr>
                </w:p>
              </w:txbxContent>
            </v:textbox>
          </v:shape>
        </w:pict>
      </w: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sectPr w:rsidR="00014250" w:rsidSect="00205E7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A9F" w:rsidRPr="00CF09B6" w:rsidRDefault="00C73A9F" w:rsidP="00CF09B6">
      <w:pPr>
        <w:pStyle w:val="BalloonText"/>
        <w:rPr>
          <w:rFonts w:ascii="Calibri" w:hAnsi="Calibri" w:cs="Times New Roman"/>
          <w:sz w:val="22"/>
          <w:szCs w:val="22"/>
        </w:rPr>
      </w:pPr>
      <w:r>
        <w:separator/>
      </w:r>
    </w:p>
  </w:endnote>
  <w:endnote w:type="continuationSeparator" w:id="0">
    <w:p w:rsidR="00C73A9F" w:rsidRPr="00CF09B6" w:rsidRDefault="00C73A9F" w:rsidP="00CF09B6">
      <w:pPr>
        <w:pStyle w:val="BalloonText"/>
        <w:rPr>
          <w:rFonts w:ascii="Calibri" w:hAnsi="Calibri" w:cs="Times New Roman"/>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882361"/>
      <w:docPartObj>
        <w:docPartGallery w:val="Page Numbers (Bottom of Page)"/>
        <w:docPartUnique/>
      </w:docPartObj>
    </w:sdtPr>
    <w:sdtContent>
      <w:p w:rsidR="0037553F" w:rsidRDefault="0037553F">
        <w:pPr>
          <w:pStyle w:val="Footer"/>
          <w:jc w:val="center"/>
        </w:pPr>
        <w:fldSimple w:instr=" PAGE   \* MERGEFORMAT ">
          <w:r w:rsidR="008E25A0">
            <w:rPr>
              <w:noProof/>
            </w:rPr>
            <w:t>5</w:t>
          </w:r>
        </w:fldSimple>
      </w:p>
    </w:sdtContent>
  </w:sdt>
  <w:p w:rsidR="0037553F" w:rsidRDefault="003755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A9F" w:rsidRPr="00CF09B6" w:rsidRDefault="00C73A9F" w:rsidP="00CF09B6">
      <w:pPr>
        <w:pStyle w:val="BalloonText"/>
        <w:rPr>
          <w:rFonts w:ascii="Calibri" w:hAnsi="Calibri" w:cs="Times New Roman"/>
          <w:sz w:val="22"/>
          <w:szCs w:val="22"/>
        </w:rPr>
      </w:pPr>
      <w:r>
        <w:separator/>
      </w:r>
    </w:p>
  </w:footnote>
  <w:footnote w:type="continuationSeparator" w:id="0">
    <w:p w:rsidR="00C73A9F" w:rsidRPr="00CF09B6" w:rsidRDefault="00C73A9F" w:rsidP="00CF09B6">
      <w:pPr>
        <w:pStyle w:val="BalloonText"/>
        <w:rPr>
          <w:rFonts w:ascii="Calibri" w:hAnsi="Calibri" w:cs="Times New Roman"/>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62A"/>
    <w:multiLevelType w:val="hybridMultilevel"/>
    <w:tmpl w:val="342AA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42D8E"/>
    <w:multiLevelType w:val="hybridMultilevel"/>
    <w:tmpl w:val="170C9D8A"/>
    <w:lvl w:ilvl="0" w:tplc="587CF96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E6856DE"/>
    <w:multiLevelType w:val="hybridMultilevel"/>
    <w:tmpl w:val="B870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26904"/>
    <w:multiLevelType w:val="hybridMultilevel"/>
    <w:tmpl w:val="A5703C86"/>
    <w:lvl w:ilvl="0" w:tplc="0409000F">
      <w:start w:val="1"/>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2435ADE"/>
    <w:multiLevelType w:val="hybridMultilevel"/>
    <w:tmpl w:val="79541626"/>
    <w:lvl w:ilvl="0" w:tplc="77A2ECD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8C5CF3"/>
    <w:multiLevelType w:val="hybridMultilevel"/>
    <w:tmpl w:val="525641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6D315B"/>
    <w:multiLevelType w:val="hybridMultilevel"/>
    <w:tmpl w:val="B03ED5F8"/>
    <w:lvl w:ilvl="0" w:tplc="3E3CFB6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5130CF4"/>
    <w:multiLevelType w:val="hybridMultilevel"/>
    <w:tmpl w:val="74CC0FBC"/>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29DF17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12A649C"/>
    <w:multiLevelType w:val="hybridMultilevel"/>
    <w:tmpl w:val="E67CA4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50737E"/>
    <w:multiLevelType w:val="hybridMultilevel"/>
    <w:tmpl w:val="C09E2112"/>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95355D7"/>
    <w:multiLevelType w:val="hybridMultilevel"/>
    <w:tmpl w:val="05666B36"/>
    <w:lvl w:ilvl="0" w:tplc="0409000F">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53EA044E"/>
    <w:multiLevelType w:val="hybridMultilevel"/>
    <w:tmpl w:val="BF640902"/>
    <w:lvl w:ilvl="0" w:tplc="77A2E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69773E"/>
    <w:multiLevelType w:val="hybridMultilevel"/>
    <w:tmpl w:val="AFC22000"/>
    <w:lvl w:ilvl="0" w:tplc="F12CB060">
      <w:start w:val="1"/>
      <w:numFmt w:val="lowerLetter"/>
      <w:lvlText w:val="%1."/>
      <w:lvlJc w:val="left"/>
      <w:pPr>
        <w:ind w:left="1890" w:hanging="360"/>
      </w:pPr>
      <w:rPr>
        <w:rFonts w:ascii="Times New Roman" w:eastAsia="Calibri" w:hAnsi="Times New Roman" w:cs="Times New Roman"/>
        <w:b/>
        <w:u w:val="no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5F7C5A5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nsid w:val="612509D7"/>
    <w:multiLevelType w:val="hybridMultilevel"/>
    <w:tmpl w:val="AAD66350"/>
    <w:lvl w:ilvl="0" w:tplc="FB0E0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8E0A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48624F5"/>
    <w:multiLevelType w:val="hybridMultilevel"/>
    <w:tmpl w:val="220CA84A"/>
    <w:lvl w:ilvl="0" w:tplc="77A2EC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406C4F"/>
    <w:multiLevelType w:val="hybridMultilevel"/>
    <w:tmpl w:val="B72200F2"/>
    <w:lvl w:ilvl="0" w:tplc="77A2ECD8">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F486DC8"/>
    <w:multiLevelType w:val="hybridMultilevel"/>
    <w:tmpl w:val="0094753C"/>
    <w:lvl w:ilvl="0" w:tplc="587CF964">
      <w:start w:val="1"/>
      <w:numFmt w:val="decimal"/>
      <w:lvlText w:val="%1."/>
      <w:lvlJc w:val="left"/>
      <w:pPr>
        <w:ind w:left="3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4BF0983"/>
    <w:multiLevelType w:val="multilevel"/>
    <w:tmpl w:val="D7C088D0"/>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bullet"/>
      <w:lvlText w:val=""/>
      <w:lvlJc w:val="left"/>
      <w:pPr>
        <w:ind w:left="2880" w:hanging="360"/>
      </w:pPr>
      <w:rPr>
        <w:rFonts w:ascii="Symbol" w:hAnsi="Symbol" w:hint="default"/>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nsid w:val="7703724E"/>
    <w:multiLevelType w:val="hybridMultilevel"/>
    <w:tmpl w:val="2D2C66A0"/>
    <w:lvl w:ilvl="0" w:tplc="04090019">
      <w:start w:val="1"/>
      <w:numFmt w:val="lowerLetter"/>
      <w:lvlText w:val="%1."/>
      <w:lvlJc w:val="left"/>
      <w:pPr>
        <w:ind w:left="1080" w:hanging="360"/>
      </w:pPr>
      <w:rPr>
        <w:rFonts w:hint="default"/>
        <w:b w:val="0"/>
      </w:rPr>
    </w:lvl>
    <w:lvl w:ilvl="1" w:tplc="455A1C96">
      <w:start w:val="1"/>
      <w:numFmt w:val="lowerLetter"/>
      <w:lvlText w:val="%2."/>
      <w:lvlJc w:val="left"/>
      <w:pPr>
        <w:ind w:left="360" w:hanging="360"/>
      </w:pPr>
      <w:rPr>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C87E45"/>
    <w:multiLevelType w:val="hybridMultilevel"/>
    <w:tmpl w:val="07D6E4C6"/>
    <w:lvl w:ilvl="0" w:tplc="0409000F">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7B751BAE"/>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4">
    <w:nsid w:val="7B820B9A"/>
    <w:multiLevelType w:val="hybridMultilevel"/>
    <w:tmpl w:val="AB50C416"/>
    <w:lvl w:ilvl="0" w:tplc="0409000F">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7FA07347"/>
    <w:multiLevelType w:val="hybridMultilevel"/>
    <w:tmpl w:val="2CBA3C7C"/>
    <w:lvl w:ilvl="0" w:tplc="E9FC0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6"/>
  </w:num>
  <w:num w:numId="3">
    <w:abstractNumId w:val="10"/>
  </w:num>
  <w:num w:numId="4">
    <w:abstractNumId w:val="1"/>
  </w:num>
  <w:num w:numId="5">
    <w:abstractNumId w:val="21"/>
  </w:num>
  <w:num w:numId="6">
    <w:abstractNumId w:val="7"/>
  </w:num>
  <w:num w:numId="7">
    <w:abstractNumId w:val="11"/>
  </w:num>
  <w:num w:numId="8">
    <w:abstractNumId w:val="8"/>
  </w:num>
  <w:num w:numId="9">
    <w:abstractNumId w:val="20"/>
  </w:num>
  <w:num w:numId="10">
    <w:abstractNumId w:val="3"/>
  </w:num>
  <w:num w:numId="11">
    <w:abstractNumId w:val="19"/>
  </w:num>
  <w:num w:numId="12">
    <w:abstractNumId w:val="22"/>
  </w:num>
  <w:num w:numId="13">
    <w:abstractNumId w:val="24"/>
  </w:num>
  <w:num w:numId="14">
    <w:abstractNumId w:val="9"/>
  </w:num>
  <w:num w:numId="15">
    <w:abstractNumId w:val="13"/>
  </w:num>
  <w:num w:numId="16">
    <w:abstractNumId w:val="16"/>
  </w:num>
  <w:num w:numId="17">
    <w:abstractNumId w:val="14"/>
  </w:num>
  <w:num w:numId="18">
    <w:abstractNumId w:val="23"/>
  </w:num>
  <w:num w:numId="19">
    <w:abstractNumId w:val="12"/>
  </w:num>
  <w:num w:numId="20">
    <w:abstractNumId w:val="18"/>
  </w:num>
  <w:num w:numId="21">
    <w:abstractNumId w:val="17"/>
  </w:num>
  <w:num w:numId="22">
    <w:abstractNumId w:val="4"/>
  </w:num>
  <w:num w:numId="23">
    <w:abstractNumId w:val="0"/>
  </w:num>
  <w:num w:numId="24">
    <w:abstractNumId w:val="2"/>
  </w:num>
  <w:num w:numId="25">
    <w:abstractNumId w:val="15"/>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101F8"/>
    <w:rsid w:val="00006AE9"/>
    <w:rsid w:val="00014250"/>
    <w:rsid w:val="00025BF4"/>
    <w:rsid w:val="00043BDB"/>
    <w:rsid w:val="00057253"/>
    <w:rsid w:val="00065A86"/>
    <w:rsid w:val="000858D6"/>
    <w:rsid w:val="00087CF7"/>
    <w:rsid w:val="000967B2"/>
    <w:rsid w:val="000A0870"/>
    <w:rsid w:val="000B1955"/>
    <w:rsid w:val="000B4B00"/>
    <w:rsid w:val="000D3907"/>
    <w:rsid w:val="000E33EA"/>
    <w:rsid w:val="000E4EC2"/>
    <w:rsid w:val="000F3166"/>
    <w:rsid w:val="0010149E"/>
    <w:rsid w:val="00117A48"/>
    <w:rsid w:val="00122D7C"/>
    <w:rsid w:val="0013609D"/>
    <w:rsid w:val="001636A1"/>
    <w:rsid w:val="00173A54"/>
    <w:rsid w:val="001824BD"/>
    <w:rsid w:val="0019646F"/>
    <w:rsid w:val="001A19B0"/>
    <w:rsid w:val="001A3D7C"/>
    <w:rsid w:val="001D2732"/>
    <w:rsid w:val="001E40CD"/>
    <w:rsid w:val="001E6301"/>
    <w:rsid w:val="00205E7A"/>
    <w:rsid w:val="00206340"/>
    <w:rsid w:val="00244C17"/>
    <w:rsid w:val="00252113"/>
    <w:rsid w:val="00257DDD"/>
    <w:rsid w:val="00274415"/>
    <w:rsid w:val="00277AF9"/>
    <w:rsid w:val="002D0354"/>
    <w:rsid w:val="002D459C"/>
    <w:rsid w:val="00324FDD"/>
    <w:rsid w:val="003457F1"/>
    <w:rsid w:val="003470A3"/>
    <w:rsid w:val="00353A85"/>
    <w:rsid w:val="00364244"/>
    <w:rsid w:val="003661F1"/>
    <w:rsid w:val="0037553F"/>
    <w:rsid w:val="00375949"/>
    <w:rsid w:val="003C0905"/>
    <w:rsid w:val="003D640B"/>
    <w:rsid w:val="003E20C4"/>
    <w:rsid w:val="003F45D0"/>
    <w:rsid w:val="00403CCA"/>
    <w:rsid w:val="0042261D"/>
    <w:rsid w:val="00425057"/>
    <w:rsid w:val="00451C0C"/>
    <w:rsid w:val="00452BFA"/>
    <w:rsid w:val="004904DA"/>
    <w:rsid w:val="004C6674"/>
    <w:rsid w:val="004E5452"/>
    <w:rsid w:val="004F16C7"/>
    <w:rsid w:val="00524404"/>
    <w:rsid w:val="005319DD"/>
    <w:rsid w:val="0054637D"/>
    <w:rsid w:val="00552CC3"/>
    <w:rsid w:val="0055678C"/>
    <w:rsid w:val="00556B0E"/>
    <w:rsid w:val="005712B3"/>
    <w:rsid w:val="00582ABB"/>
    <w:rsid w:val="005A110A"/>
    <w:rsid w:val="005A7D33"/>
    <w:rsid w:val="005B6287"/>
    <w:rsid w:val="005E0BC9"/>
    <w:rsid w:val="005E71D1"/>
    <w:rsid w:val="005F316A"/>
    <w:rsid w:val="00607A3E"/>
    <w:rsid w:val="00607BDE"/>
    <w:rsid w:val="00621CDF"/>
    <w:rsid w:val="006277E4"/>
    <w:rsid w:val="006331D9"/>
    <w:rsid w:val="00643C7D"/>
    <w:rsid w:val="00655451"/>
    <w:rsid w:val="00660503"/>
    <w:rsid w:val="00660F93"/>
    <w:rsid w:val="00661F08"/>
    <w:rsid w:val="00666E58"/>
    <w:rsid w:val="00676A28"/>
    <w:rsid w:val="006B2712"/>
    <w:rsid w:val="006D4020"/>
    <w:rsid w:val="006D4D9A"/>
    <w:rsid w:val="006E07B4"/>
    <w:rsid w:val="006E0C9F"/>
    <w:rsid w:val="007218CC"/>
    <w:rsid w:val="007400FB"/>
    <w:rsid w:val="00741816"/>
    <w:rsid w:val="0074288E"/>
    <w:rsid w:val="00742C26"/>
    <w:rsid w:val="00745F3D"/>
    <w:rsid w:val="007624EB"/>
    <w:rsid w:val="007666BB"/>
    <w:rsid w:val="0077506D"/>
    <w:rsid w:val="007A1646"/>
    <w:rsid w:val="007B4C18"/>
    <w:rsid w:val="007C42D1"/>
    <w:rsid w:val="007C6D46"/>
    <w:rsid w:val="007D5D6D"/>
    <w:rsid w:val="008155A2"/>
    <w:rsid w:val="008155A9"/>
    <w:rsid w:val="00835243"/>
    <w:rsid w:val="0088206B"/>
    <w:rsid w:val="00883651"/>
    <w:rsid w:val="00890D10"/>
    <w:rsid w:val="008B3674"/>
    <w:rsid w:val="008C4032"/>
    <w:rsid w:val="008E25A0"/>
    <w:rsid w:val="008E4FDA"/>
    <w:rsid w:val="00924C93"/>
    <w:rsid w:val="00932E32"/>
    <w:rsid w:val="00962656"/>
    <w:rsid w:val="00981AEB"/>
    <w:rsid w:val="00991BC9"/>
    <w:rsid w:val="009A0E03"/>
    <w:rsid w:val="009A1114"/>
    <w:rsid w:val="009A1565"/>
    <w:rsid w:val="009A6111"/>
    <w:rsid w:val="009C046F"/>
    <w:rsid w:val="009D5783"/>
    <w:rsid w:val="009F5337"/>
    <w:rsid w:val="00A03F68"/>
    <w:rsid w:val="00A04B2A"/>
    <w:rsid w:val="00A0508F"/>
    <w:rsid w:val="00A451CE"/>
    <w:rsid w:val="00A754F8"/>
    <w:rsid w:val="00A9520A"/>
    <w:rsid w:val="00A96819"/>
    <w:rsid w:val="00AA4438"/>
    <w:rsid w:val="00AC5FA1"/>
    <w:rsid w:val="00AC769D"/>
    <w:rsid w:val="00AE523B"/>
    <w:rsid w:val="00B010C0"/>
    <w:rsid w:val="00B0224B"/>
    <w:rsid w:val="00B0716C"/>
    <w:rsid w:val="00B07BF3"/>
    <w:rsid w:val="00B37D72"/>
    <w:rsid w:val="00B47969"/>
    <w:rsid w:val="00B57FB4"/>
    <w:rsid w:val="00B741D8"/>
    <w:rsid w:val="00B743AB"/>
    <w:rsid w:val="00B76896"/>
    <w:rsid w:val="00B84A99"/>
    <w:rsid w:val="00BA1C23"/>
    <w:rsid w:val="00BB7D8E"/>
    <w:rsid w:val="00BC63D1"/>
    <w:rsid w:val="00BD3197"/>
    <w:rsid w:val="00C101F8"/>
    <w:rsid w:val="00C20737"/>
    <w:rsid w:val="00C301FC"/>
    <w:rsid w:val="00C63C72"/>
    <w:rsid w:val="00C736CA"/>
    <w:rsid w:val="00C73A9F"/>
    <w:rsid w:val="00C80397"/>
    <w:rsid w:val="00C82D26"/>
    <w:rsid w:val="00C915AD"/>
    <w:rsid w:val="00C93C89"/>
    <w:rsid w:val="00C96888"/>
    <w:rsid w:val="00CA6236"/>
    <w:rsid w:val="00CC228A"/>
    <w:rsid w:val="00CD2235"/>
    <w:rsid w:val="00CD2BC2"/>
    <w:rsid w:val="00CD67CB"/>
    <w:rsid w:val="00CE0D65"/>
    <w:rsid w:val="00CF09B6"/>
    <w:rsid w:val="00D457B5"/>
    <w:rsid w:val="00D60722"/>
    <w:rsid w:val="00D6125D"/>
    <w:rsid w:val="00D65ACF"/>
    <w:rsid w:val="00D833F3"/>
    <w:rsid w:val="00D87591"/>
    <w:rsid w:val="00D95728"/>
    <w:rsid w:val="00DB108D"/>
    <w:rsid w:val="00E0586A"/>
    <w:rsid w:val="00E10F23"/>
    <w:rsid w:val="00E17510"/>
    <w:rsid w:val="00E33F68"/>
    <w:rsid w:val="00E344D8"/>
    <w:rsid w:val="00E55C69"/>
    <w:rsid w:val="00EA5573"/>
    <w:rsid w:val="00F33264"/>
    <w:rsid w:val="00F50851"/>
    <w:rsid w:val="00F76625"/>
    <w:rsid w:val="00F82254"/>
    <w:rsid w:val="00F90680"/>
    <w:rsid w:val="00F93FF0"/>
    <w:rsid w:val="00FB3001"/>
    <w:rsid w:val="00FD5EA5"/>
    <w:rsid w:val="00FD60F8"/>
    <w:rsid w:val="00FE5A8C"/>
    <w:rsid w:val="00FF09B9"/>
    <w:rsid w:val="00FF1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80"/>
    <w:pPr>
      <w:spacing w:after="200" w:line="276" w:lineRule="auto"/>
    </w:pPr>
    <w:rPr>
      <w:sz w:val="22"/>
      <w:szCs w:val="22"/>
    </w:rPr>
  </w:style>
  <w:style w:type="paragraph" w:styleId="Heading1">
    <w:name w:val="heading 1"/>
    <w:basedOn w:val="Normal"/>
    <w:next w:val="Normal"/>
    <w:link w:val="Heading1Char"/>
    <w:uiPriority w:val="9"/>
    <w:qFormat/>
    <w:rsid w:val="00D60722"/>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0722"/>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0722"/>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0722"/>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0722"/>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0722"/>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0722"/>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0722"/>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0722"/>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A86"/>
    <w:rPr>
      <w:rFonts w:ascii="Tahoma" w:eastAsia="Calibri" w:hAnsi="Tahoma" w:cs="Tahoma"/>
      <w:sz w:val="16"/>
      <w:szCs w:val="16"/>
    </w:rPr>
  </w:style>
  <w:style w:type="paragraph" w:styleId="ListParagraph">
    <w:name w:val="List Paragraph"/>
    <w:basedOn w:val="Normal"/>
    <w:uiPriority w:val="34"/>
    <w:qFormat/>
    <w:rsid w:val="00065A86"/>
    <w:pPr>
      <w:ind w:left="720"/>
      <w:contextualSpacing/>
    </w:pPr>
  </w:style>
  <w:style w:type="paragraph" w:customStyle="1" w:styleId="Default">
    <w:name w:val="Default"/>
    <w:rsid w:val="00FD5EA5"/>
    <w:pPr>
      <w:autoSpaceDE w:val="0"/>
      <w:autoSpaceDN w:val="0"/>
      <w:adjustRightInd w:val="0"/>
    </w:pPr>
    <w:rPr>
      <w:rFonts w:ascii="Century Schoolbook" w:hAnsi="Century Schoolbook" w:cs="Century Schoolbook"/>
      <w:color w:val="000000"/>
      <w:sz w:val="24"/>
      <w:szCs w:val="24"/>
    </w:rPr>
  </w:style>
  <w:style w:type="character" w:customStyle="1" w:styleId="Heading1Char">
    <w:name w:val="Heading 1 Char"/>
    <w:basedOn w:val="DefaultParagraphFont"/>
    <w:link w:val="Heading1"/>
    <w:uiPriority w:val="9"/>
    <w:rsid w:val="00D607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07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072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D6072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D60722"/>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D60722"/>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6072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607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60722"/>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semiHidden/>
    <w:unhideWhenUsed/>
    <w:rsid w:val="00CF09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09B6"/>
    <w:rPr>
      <w:sz w:val="22"/>
      <w:szCs w:val="22"/>
    </w:rPr>
  </w:style>
  <w:style w:type="paragraph" w:styleId="Footer">
    <w:name w:val="footer"/>
    <w:basedOn w:val="Normal"/>
    <w:link w:val="FooterChar"/>
    <w:uiPriority w:val="99"/>
    <w:unhideWhenUsed/>
    <w:rsid w:val="00CF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9B6"/>
    <w:rPr>
      <w:sz w:val="22"/>
      <w:szCs w:val="22"/>
    </w:rPr>
  </w:style>
  <w:style w:type="character" w:styleId="Strong">
    <w:name w:val="Strong"/>
    <w:basedOn w:val="DefaultParagraphFont"/>
    <w:uiPriority w:val="22"/>
    <w:qFormat/>
    <w:rsid w:val="00CD2235"/>
    <w:rPr>
      <w:b/>
      <w:bCs/>
    </w:rPr>
  </w:style>
  <w:style w:type="character" w:customStyle="1" w:styleId="apple-converted-space">
    <w:name w:val="apple-converted-space"/>
    <w:basedOn w:val="DefaultParagraphFont"/>
    <w:rsid w:val="00CD2235"/>
  </w:style>
  <w:style w:type="character" w:customStyle="1" w:styleId="apple-style-span">
    <w:name w:val="apple-style-span"/>
    <w:basedOn w:val="DefaultParagraphFont"/>
    <w:rsid w:val="00CD2235"/>
  </w:style>
  <w:style w:type="character" w:styleId="Emphasis">
    <w:name w:val="Emphasis"/>
    <w:basedOn w:val="DefaultParagraphFont"/>
    <w:uiPriority w:val="20"/>
    <w:qFormat/>
    <w:rsid w:val="00CD2235"/>
    <w:rPr>
      <w:i/>
      <w:iCs/>
    </w:rPr>
  </w:style>
  <w:style w:type="character" w:customStyle="1" w:styleId="enumbell">
    <w:name w:val="enumbell"/>
    <w:basedOn w:val="DefaultParagraphFont"/>
    <w:rsid w:val="00C63C72"/>
  </w:style>
  <w:style w:type="character" w:customStyle="1" w:styleId="ptext-1">
    <w:name w:val="ptext-1"/>
    <w:basedOn w:val="DefaultParagraphFont"/>
    <w:rsid w:val="00C63C72"/>
  </w:style>
  <w:style w:type="paragraph" w:styleId="NormalWeb">
    <w:name w:val="Normal (Web)"/>
    <w:basedOn w:val="Normal"/>
    <w:uiPriority w:val="99"/>
    <w:semiHidden/>
    <w:unhideWhenUsed/>
    <w:rsid w:val="00A03F6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63072335">
      <w:bodyDiv w:val="1"/>
      <w:marLeft w:val="0"/>
      <w:marRight w:val="0"/>
      <w:marTop w:val="0"/>
      <w:marBottom w:val="0"/>
      <w:divBdr>
        <w:top w:val="none" w:sz="0" w:space="0" w:color="auto"/>
        <w:left w:val="none" w:sz="0" w:space="0" w:color="auto"/>
        <w:bottom w:val="none" w:sz="0" w:space="0" w:color="auto"/>
        <w:right w:val="none" w:sz="0" w:space="0" w:color="auto"/>
      </w:divBdr>
    </w:div>
    <w:div w:id="672537187">
      <w:bodyDiv w:val="1"/>
      <w:marLeft w:val="0"/>
      <w:marRight w:val="0"/>
      <w:marTop w:val="0"/>
      <w:marBottom w:val="0"/>
      <w:divBdr>
        <w:top w:val="none" w:sz="0" w:space="0" w:color="auto"/>
        <w:left w:val="none" w:sz="0" w:space="0" w:color="auto"/>
        <w:bottom w:val="none" w:sz="0" w:space="0" w:color="auto"/>
        <w:right w:val="none" w:sz="0" w:space="0" w:color="auto"/>
      </w:divBdr>
      <w:divsChild>
        <w:div w:id="615330674">
          <w:marLeft w:val="2700"/>
          <w:marRight w:val="-117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4</cp:revision>
  <cp:lastPrinted>2010-12-08T16:53:00Z</cp:lastPrinted>
  <dcterms:created xsi:type="dcterms:W3CDTF">2010-12-20T16:27:00Z</dcterms:created>
  <dcterms:modified xsi:type="dcterms:W3CDTF">2010-12-26T23:31:00Z</dcterms:modified>
</cp:coreProperties>
</file>