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80"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jc w:val="center"/>
        <w:rPr>
          <w:rFonts w:ascii="Times New Roman" w:hAnsi="Times New Roman"/>
          <w:b/>
          <w:sz w:val="28"/>
          <w:u w:val="single"/>
        </w:rPr>
      </w:pPr>
      <w:r w:rsidRPr="00FF16A9">
        <w:rPr>
          <w:rFonts w:ascii="Times New Roman" w:hAnsi="Times New Roman"/>
          <w:b/>
          <w:sz w:val="28"/>
        </w:rPr>
        <w:t xml:space="preserve">UNITED STATES DISTRICT COURT FOR THE </w:t>
      </w:r>
    </w:p>
    <w:p w:rsidR="00F90680"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jc w:val="center"/>
        <w:rPr>
          <w:rFonts w:ascii="Times New Roman" w:hAnsi="Times New Roman"/>
          <w:b/>
          <w:sz w:val="28"/>
        </w:rPr>
      </w:pPr>
      <w:r w:rsidRPr="00FF16A9">
        <w:rPr>
          <w:rFonts w:ascii="Times New Roman" w:hAnsi="Times New Roman"/>
          <w:b/>
          <w:sz w:val="28"/>
        </w:rPr>
        <w:t>FOR NORTHERN DISTRICT OF GEORIGA</w:t>
      </w:r>
    </w:p>
    <w:p w:rsidR="00F90680"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jc w:val="center"/>
        <w:rPr>
          <w:rFonts w:ascii="Times New Roman" w:hAnsi="Times New Roman"/>
          <w:b/>
          <w:sz w:val="28"/>
        </w:rPr>
      </w:pPr>
      <w:r w:rsidRPr="00FF16A9">
        <w:rPr>
          <w:rFonts w:ascii="Times New Roman" w:hAnsi="Times New Roman"/>
          <w:b/>
          <w:sz w:val="28"/>
        </w:rPr>
        <w:t>ATLANTA DIVISION</w:t>
      </w:r>
    </w:p>
    <w:p w:rsidR="00F90680"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182475">
        <w:rPr>
          <w:rFonts w:ascii="Times New Roman" w:hAnsi="Times New Roman"/>
          <w:sz w:val="24"/>
        </w:rPr>
        <w:tab/>
      </w:r>
      <w:r w:rsidRPr="00182475">
        <w:rPr>
          <w:rFonts w:ascii="Times New Roman" w:hAnsi="Times New Roman"/>
          <w:sz w:val="24"/>
        </w:rPr>
        <w:tab/>
      </w:r>
      <w:r w:rsidRPr="00182475">
        <w:rPr>
          <w:rFonts w:ascii="Times New Roman" w:hAnsi="Times New Roman"/>
          <w:sz w:val="24"/>
        </w:rPr>
        <w:tab/>
      </w:r>
      <w:r w:rsidRPr="00182475">
        <w:rPr>
          <w:rFonts w:ascii="Times New Roman" w:hAnsi="Times New Roman"/>
          <w:sz w:val="24"/>
        </w:rPr>
        <w:tab/>
      </w:r>
      <w:r w:rsidRPr="00182475">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FF16A9">
        <w:rPr>
          <w:rFonts w:ascii="Times New Roman" w:hAnsi="Times New Roman"/>
          <w:b/>
          <w:sz w:val="24"/>
        </w:rPr>
        <w:t>CIVIL ACTION FILE</w:t>
      </w:r>
    </w:p>
    <w:p w:rsidR="005A7D33"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F90680" w:rsidRPr="00FF16A9" w:rsidRDefault="00F90680" w:rsidP="009C046F">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FF16A9">
        <w:rPr>
          <w:rFonts w:ascii="Times New Roman" w:hAnsi="Times New Roman"/>
          <w:b/>
          <w:sz w:val="24"/>
        </w:rPr>
        <w:t xml:space="preserve">Wekesa O. Madzimoyo, </w:t>
      </w:r>
      <w:r w:rsidRPr="00FF16A9">
        <w:rPr>
          <w:rFonts w:ascii="Times New Roman" w:hAnsi="Times New Roman"/>
          <w:b/>
          <w:sz w:val="24"/>
        </w:rPr>
        <w:br/>
        <w:t>Plaintiff</w:t>
      </w:r>
      <w:r w:rsidR="00FF16A9" w:rsidRPr="00FF16A9">
        <w:rPr>
          <w:rFonts w:ascii="Times New Roman" w:hAnsi="Times New Roman"/>
          <w:b/>
          <w:sz w:val="24"/>
        </w:rPr>
        <w:t>,</w:t>
      </w:r>
      <w:r w:rsidRPr="00FF16A9">
        <w:rPr>
          <w:rFonts w:ascii="Times New Roman" w:hAnsi="Times New Roman"/>
          <w:b/>
          <w:sz w:val="24"/>
        </w:rPr>
        <w:tab/>
        <w:t xml:space="preserve">                                                </w:t>
      </w:r>
      <w:r w:rsidRPr="00FF16A9">
        <w:rPr>
          <w:rFonts w:ascii="Times New Roman" w:hAnsi="Times New Roman"/>
          <w:b/>
          <w:sz w:val="24"/>
        </w:rPr>
        <w:tab/>
        <w:t xml:space="preserve">        </w:t>
      </w:r>
      <w:r w:rsidR="00FF16A9">
        <w:rPr>
          <w:rFonts w:ascii="Times New Roman" w:hAnsi="Times New Roman"/>
          <w:b/>
          <w:sz w:val="24"/>
        </w:rPr>
        <w:t xml:space="preserve"> </w:t>
      </w:r>
      <w:r w:rsidRPr="00FF16A9">
        <w:rPr>
          <w:rFonts w:ascii="Times New Roman" w:hAnsi="Times New Roman"/>
          <w:b/>
          <w:sz w:val="24"/>
        </w:rPr>
        <w:t xml:space="preserve"> </w:t>
      </w:r>
      <w:r w:rsidR="00FF16A9">
        <w:rPr>
          <w:rFonts w:ascii="Times New Roman" w:hAnsi="Times New Roman"/>
          <w:b/>
          <w:sz w:val="24"/>
        </w:rPr>
        <w:t xml:space="preserve"> </w:t>
      </w:r>
      <w:r w:rsidRPr="00FF16A9">
        <w:rPr>
          <w:rFonts w:ascii="Times New Roman" w:hAnsi="Times New Roman"/>
          <w:b/>
          <w:sz w:val="24"/>
        </w:rPr>
        <w:t xml:space="preserve">  }   </w:t>
      </w:r>
    </w:p>
    <w:p w:rsidR="00F90680" w:rsidRPr="00FF16A9" w:rsidRDefault="0099324B"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Pr>
          <w:rFonts w:ascii="Times New Roman" w:hAnsi="Times New Roman"/>
          <w:b/>
          <w:noProof/>
          <w:sz w:val="24"/>
          <w:lang w:eastAsia="zh-TW"/>
        </w:rPr>
        <w:pict>
          <v:shapetype id="_x0000_t202" coordsize="21600,21600" o:spt="202" path="m,l,21600r21600,l21600,xe">
            <v:stroke joinstyle="miter"/>
            <v:path gradientshapeok="t" o:connecttype="rect"/>
          </v:shapetype>
          <v:shape id="_x0000_s1026" type="#_x0000_t202" style="position:absolute;margin-left:293.1pt;margin-top:17.15pt;width:186.35pt;height:43.5pt;z-index:251660288;mso-width-percent:400;mso-width-percent:400;mso-width-relative:margin;mso-height-relative:margin" fillcolor="white [3212]" strokecolor="white [3212]">
            <v:textbox style="mso-fit-shape-to-text:t">
              <w:txbxContent>
                <w:p w:rsidR="005A7D33" w:rsidRPr="00FF16A9" w:rsidRDefault="005A7D33"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FF16A9">
                    <w:rPr>
                      <w:rFonts w:ascii="Times New Roman" w:hAnsi="Times New Roman"/>
                      <w:b/>
                      <w:sz w:val="24"/>
                    </w:rPr>
                    <w:t>No. 1:09-CV-02355-CAP-GGB</w:t>
                  </w:r>
                </w:p>
                <w:p w:rsidR="00065A86" w:rsidRPr="005A7D33" w:rsidRDefault="00065A86" w:rsidP="005A7D33"/>
              </w:txbxContent>
            </v:textbox>
          </v:shape>
        </w:pict>
      </w:r>
      <w:proofErr w:type="gramStart"/>
      <w:r w:rsidR="00F90680" w:rsidRPr="00FF16A9">
        <w:rPr>
          <w:rFonts w:ascii="Times New Roman" w:hAnsi="Times New Roman"/>
          <w:b/>
          <w:sz w:val="24"/>
        </w:rPr>
        <w:t>v</w:t>
      </w:r>
      <w:proofErr w:type="gramEnd"/>
      <w:r w:rsidR="00F90680" w:rsidRPr="00FF16A9">
        <w:rPr>
          <w:rFonts w:ascii="Times New Roman" w:hAnsi="Times New Roman"/>
          <w:b/>
          <w:sz w:val="24"/>
        </w:rPr>
        <w:t>.</w:t>
      </w:r>
      <w:r w:rsidR="00F90680" w:rsidRPr="00FF16A9">
        <w:rPr>
          <w:rFonts w:ascii="Times New Roman" w:hAnsi="Times New Roman"/>
          <w:b/>
          <w:sz w:val="24"/>
        </w:rPr>
        <w:tab/>
      </w:r>
      <w:r w:rsidR="00F90680" w:rsidRPr="00FF16A9">
        <w:rPr>
          <w:rFonts w:ascii="Times New Roman" w:hAnsi="Times New Roman"/>
          <w:b/>
          <w:sz w:val="24"/>
        </w:rPr>
        <w:tab/>
      </w:r>
      <w:r w:rsidR="00F90680" w:rsidRPr="00FF16A9">
        <w:rPr>
          <w:rFonts w:ascii="Times New Roman" w:hAnsi="Times New Roman"/>
          <w:b/>
          <w:sz w:val="24"/>
        </w:rPr>
        <w:tab/>
      </w:r>
      <w:r w:rsidR="00F90680" w:rsidRPr="00FF16A9">
        <w:rPr>
          <w:rFonts w:ascii="Times New Roman" w:hAnsi="Times New Roman"/>
          <w:b/>
          <w:sz w:val="24"/>
        </w:rPr>
        <w:tab/>
        <w:t xml:space="preserve">                                   </w:t>
      </w:r>
      <w:r w:rsidR="00F90680" w:rsidRPr="00FF16A9">
        <w:rPr>
          <w:rFonts w:ascii="Times New Roman" w:hAnsi="Times New Roman"/>
          <w:b/>
          <w:sz w:val="24"/>
        </w:rPr>
        <w:tab/>
        <w:t xml:space="preserve">        </w:t>
      </w:r>
      <w:r w:rsidR="00FF16A9">
        <w:rPr>
          <w:rFonts w:ascii="Times New Roman" w:hAnsi="Times New Roman"/>
          <w:b/>
          <w:sz w:val="24"/>
        </w:rPr>
        <w:t xml:space="preserve">  </w:t>
      </w:r>
      <w:r w:rsidR="00F90680" w:rsidRPr="00FF16A9">
        <w:rPr>
          <w:rFonts w:ascii="Times New Roman" w:hAnsi="Times New Roman"/>
          <w:b/>
          <w:sz w:val="24"/>
        </w:rPr>
        <w:t xml:space="preserve">   }</w:t>
      </w:r>
    </w:p>
    <w:p w:rsidR="00065A86"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8"/>
        </w:rPr>
      </w:pPr>
      <w:r w:rsidRPr="00FF16A9">
        <w:rPr>
          <w:rFonts w:ascii="Times New Roman" w:hAnsi="Times New Roman"/>
          <w:b/>
          <w:sz w:val="24"/>
        </w:rPr>
        <w:t xml:space="preserve">THE BANK OF NEW YORK                               </w:t>
      </w:r>
      <w:r w:rsidR="00FF16A9">
        <w:rPr>
          <w:rFonts w:ascii="Times New Roman" w:hAnsi="Times New Roman"/>
          <w:b/>
          <w:sz w:val="24"/>
        </w:rPr>
        <w:t xml:space="preserve">  </w:t>
      </w:r>
      <w:r w:rsidRPr="00FF16A9">
        <w:rPr>
          <w:rFonts w:ascii="Times New Roman" w:hAnsi="Times New Roman"/>
          <w:b/>
          <w:sz w:val="24"/>
        </w:rPr>
        <w:t xml:space="preserve">   }   </w:t>
      </w:r>
    </w:p>
    <w:p w:rsidR="00FF16A9"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FF16A9">
        <w:rPr>
          <w:rFonts w:ascii="Times New Roman" w:hAnsi="Times New Roman"/>
          <w:b/>
          <w:sz w:val="24"/>
        </w:rPr>
        <w:t xml:space="preserve">MELLON TRUST COMPANY, NA.,                   </w:t>
      </w:r>
      <w:r w:rsidR="00FF16A9">
        <w:rPr>
          <w:rFonts w:ascii="Times New Roman" w:hAnsi="Times New Roman"/>
          <w:b/>
          <w:sz w:val="24"/>
        </w:rPr>
        <w:t xml:space="preserve"> </w:t>
      </w:r>
      <w:r w:rsidRPr="00FF16A9">
        <w:rPr>
          <w:rFonts w:ascii="Times New Roman" w:hAnsi="Times New Roman"/>
          <w:b/>
          <w:sz w:val="24"/>
        </w:rPr>
        <w:t xml:space="preserve"> </w:t>
      </w:r>
      <w:r w:rsidR="00FF16A9">
        <w:rPr>
          <w:rFonts w:ascii="Times New Roman" w:hAnsi="Times New Roman"/>
          <w:b/>
          <w:sz w:val="24"/>
        </w:rPr>
        <w:t xml:space="preserve"> </w:t>
      </w:r>
      <w:r w:rsidRPr="00FF16A9">
        <w:rPr>
          <w:rFonts w:ascii="Times New Roman" w:hAnsi="Times New Roman"/>
          <w:b/>
          <w:sz w:val="24"/>
        </w:rPr>
        <w:t xml:space="preserve">  }</w:t>
      </w:r>
      <w:r w:rsidRPr="00FF16A9">
        <w:rPr>
          <w:rFonts w:ascii="Times New Roman" w:hAnsi="Times New Roman"/>
          <w:b/>
          <w:sz w:val="24"/>
        </w:rPr>
        <w:br/>
        <w:t xml:space="preserve"> formerly known as The Bank of New                </w:t>
      </w:r>
      <w:r w:rsidRPr="00FF16A9">
        <w:rPr>
          <w:rFonts w:ascii="Times New Roman" w:hAnsi="Times New Roman"/>
          <w:b/>
          <w:sz w:val="24"/>
        </w:rPr>
        <w:tab/>
      </w:r>
      <w:r w:rsidR="00FF16A9">
        <w:rPr>
          <w:rFonts w:ascii="Times New Roman" w:hAnsi="Times New Roman"/>
          <w:b/>
          <w:sz w:val="24"/>
        </w:rPr>
        <w:t xml:space="preserve">  </w:t>
      </w:r>
      <w:r w:rsidRPr="00FF16A9">
        <w:rPr>
          <w:rFonts w:ascii="Times New Roman" w:hAnsi="Times New Roman"/>
          <w:b/>
          <w:sz w:val="24"/>
        </w:rPr>
        <w:t xml:space="preserve">  </w:t>
      </w:r>
      <w:proofErr w:type="gramStart"/>
      <w:r w:rsidRPr="00FF16A9">
        <w:rPr>
          <w:rFonts w:ascii="Times New Roman" w:hAnsi="Times New Roman"/>
          <w:b/>
          <w:sz w:val="24"/>
        </w:rPr>
        <w:t>}</w:t>
      </w:r>
      <w:proofErr w:type="gramEnd"/>
      <w:r w:rsidRPr="00FF16A9">
        <w:rPr>
          <w:rFonts w:ascii="Times New Roman" w:hAnsi="Times New Roman"/>
          <w:b/>
          <w:sz w:val="24"/>
        </w:rPr>
        <w:br/>
        <w:t xml:space="preserve">York Trust Company, N.A., JP MORGAN     </w:t>
      </w:r>
      <w:r w:rsidRPr="00FF16A9">
        <w:rPr>
          <w:rFonts w:ascii="Times New Roman" w:hAnsi="Times New Roman"/>
          <w:b/>
          <w:sz w:val="24"/>
        </w:rPr>
        <w:tab/>
      </w:r>
      <w:r w:rsidR="00FF16A9">
        <w:rPr>
          <w:rFonts w:ascii="Times New Roman" w:hAnsi="Times New Roman"/>
          <w:b/>
          <w:sz w:val="24"/>
        </w:rPr>
        <w:t xml:space="preserve">  </w:t>
      </w:r>
      <w:r w:rsidRPr="00FF16A9">
        <w:rPr>
          <w:rFonts w:ascii="Times New Roman" w:hAnsi="Times New Roman"/>
          <w:b/>
          <w:sz w:val="24"/>
        </w:rPr>
        <w:t xml:space="preserve">  }</w:t>
      </w:r>
      <w:r w:rsidRPr="00FF16A9">
        <w:rPr>
          <w:rFonts w:ascii="Times New Roman" w:hAnsi="Times New Roman"/>
          <w:b/>
          <w:sz w:val="24"/>
        </w:rPr>
        <w:br/>
        <w:t>CHASE BANK, NA, GMAC MORTGAGE, LLC   }</w:t>
      </w:r>
      <w:r w:rsidRPr="00FF16A9">
        <w:rPr>
          <w:rFonts w:ascii="Times New Roman" w:hAnsi="Times New Roman"/>
          <w:b/>
          <w:sz w:val="24"/>
        </w:rPr>
        <w:br/>
        <w:t xml:space="preserve">and ANTHONY DEMARLO, Attorney </w:t>
      </w:r>
    </w:p>
    <w:p w:rsidR="00F90680" w:rsidRPr="00182475" w:rsidRDefault="00FF16A9"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proofErr w:type="gramStart"/>
      <w:r w:rsidRPr="00FF16A9">
        <w:rPr>
          <w:rFonts w:ascii="Times New Roman" w:hAnsi="Times New Roman"/>
          <w:b/>
          <w:sz w:val="24"/>
        </w:rPr>
        <w:t>Defendants.</w:t>
      </w:r>
      <w:proofErr w:type="gramEnd"/>
      <w:r w:rsidRPr="00FF16A9">
        <w:rPr>
          <w:rFonts w:ascii="Times New Roman" w:hAnsi="Times New Roman"/>
          <w:b/>
          <w:sz w:val="24"/>
        </w:rPr>
        <w:tab/>
        <w:t xml:space="preserve">                                              </w:t>
      </w:r>
      <w:r w:rsidR="00F90680" w:rsidRPr="00FF16A9">
        <w:rPr>
          <w:rFonts w:ascii="Times New Roman" w:hAnsi="Times New Roman"/>
          <w:b/>
          <w:sz w:val="24"/>
        </w:rPr>
        <w:t xml:space="preserve">                 </w:t>
      </w:r>
      <w:r w:rsidR="00F90680" w:rsidRPr="00182475">
        <w:rPr>
          <w:rFonts w:ascii="Times New Roman" w:hAnsi="Times New Roman"/>
          <w:sz w:val="24"/>
        </w:rPr>
        <w:t>}</w:t>
      </w:r>
    </w:p>
    <w:p w:rsidR="00F90680" w:rsidRPr="00182475" w:rsidRDefault="00F90680" w:rsidP="00F90680">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rPr>
      </w:pPr>
    </w:p>
    <w:p w:rsidR="00065A86" w:rsidRDefault="00065A86" w:rsidP="00065A86">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p>
    <w:p w:rsidR="00065A86" w:rsidRPr="00C43C34" w:rsidRDefault="00CC51F7" w:rsidP="006A59DE">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jc w:val="center"/>
        <w:rPr>
          <w:rFonts w:ascii="Times New Roman" w:hAnsi="Times New Roman"/>
          <w:b/>
          <w:sz w:val="28"/>
          <w:szCs w:val="28"/>
          <w:u w:val="single"/>
        </w:rPr>
      </w:pPr>
      <w:r>
        <w:rPr>
          <w:rFonts w:ascii="Times New Roman" w:hAnsi="Times New Roman"/>
          <w:b/>
          <w:sz w:val="28"/>
          <w:szCs w:val="28"/>
          <w:u w:val="single"/>
        </w:rPr>
        <w:t>OPPOSTION</w:t>
      </w:r>
      <w:r w:rsidR="006D4020" w:rsidRPr="00C43C34">
        <w:rPr>
          <w:rFonts w:ascii="Times New Roman" w:hAnsi="Times New Roman"/>
          <w:b/>
          <w:sz w:val="28"/>
          <w:szCs w:val="28"/>
          <w:u w:val="single"/>
        </w:rPr>
        <w:t xml:space="preserve"> TO MOTION FOR </w:t>
      </w:r>
      <w:r w:rsidR="001F1B14">
        <w:rPr>
          <w:rFonts w:ascii="Times New Roman" w:hAnsi="Times New Roman"/>
          <w:b/>
          <w:sz w:val="28"/>
          <w:szCs w:val="28"/>
          <w:u w:val="single"/>
        </w:rPr>
        <w:t>JUDGEMENT ON THE PLEADINGS</w:t>
      </w:r>
    </w:p>
    <w:p w:rsidR="00065A86" w:rsidRPr="00C43C34" w:rsidRDefault="005A7D33" w:rsidP="006A59DE">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ab/>
      </w:r>
      <w:r w:rsidR="00065A86" w:rsidRPr="00C43C34">
        <w:rPr>
          <w:rFonts w:ascii="Times New Roman" w:hAnsi="Times New Roman"/>
          <w:sz w:val="28"/>
          <w:szCs w:val="28"/>
        </w:rPr>
        <w:t>Come now the Pla</w:t>
      </w:r>
      <w:r w:rsidR="00FF16A9" w:rsidRPr="00C43C34">
        <w:rPr>
          <w:rFonts w:ascii="Times New Roman" w:hAnsi="Times New Roman"/>
          <w:sz w:val="28"/>
          <w:szCs w:val="28"/>
        </w:rPr>
        <w:t>i</w:t>
      </w:r>
      <w:r w:rsidR="00065A86" w:rsidRPr="00C43C34">
        <w:rPr>
          <w:rFonts w:ascii="Times New Roman" w:hAnsi="Times New Roman"/>
          <w:sz w:val="28"/>
          <w:szCs w:val="28"/>
        </w:rPr>
        <w:t xml:space="preserve">ntiff, </w:t>
      </w:r>
      <w:r w:rsidR="00F76625" w:rsidRPr="00C43C34">
        <w:rPr>
          <w:rFonts w:ascii="Times New Roman" w:hAnsi="Times New Roman"/>
          <w:sz w:val="28"/>
          <w:szCs w:val="28"/>
        </w:rPr>
        <w:t>WEKESA O. MADZIMOYO</w:t>
      </w:r>
      <w:r w:rsidR="00065A86" w:rsidRPr="00C43C34">
        <w:rPr>
          <w:rFonts w:ascii="Times New Roman" w:hAnsi="Times New Roman"/>
          <w:sz w:val="28"/>
          <w:szCs w:val="28"/>
        </w:rPr>
        <w:t xml:space="preserve"> AND </w:t>
      </w:r>
      <w:r w:rsidRPr="00C43C34">
        <w:rPr>
          <w:rFonts w:ascii="Times New Roman" w:hAnsi="Times New Roman"/>
          <w:sz w:val="28"/>
          <w:szCs w:val="28"/>
        </w:rPr>
        <w:t xml:space="preserve">move the Court </w:t>
      </w:r>
      <w:r w:rsidR="006D4020" w:rsidRPr="00C43C34">
        <w:rPr>
          <w:rFonts w:ascii="Times New Roman" w:hAnsi="Times New Roman"/>
          <w:sz w:val="28"/>
          <w:szCs w:val="28"/>
        </w:rPr>
        <w:t xml:space="preserve">to </w:t>
      </w:r>
      <w:r w:rsidR="00CC51F7">
        <w:rPr>
          <w:rFonts w:ascii="Times New Roman" w:hAnsi="Times New Roman"/>
          <w:sz w:val="28"/>
          <w:szCs w:val="28"/>
        </w:rPr>
        <w:t>oppose</w:t>
      </w:r>
      <w:r w:rsidR="006D4020" w:rsidRPr="00C43C34">
        <w:rPr>
          <w:rFonts w:ascii="Times New Roman" w:hAnsi="Times New Roman"/>
          <w:sz w:val="28"/>
          <w:szCs w:val="28"/>
        </w:rPr>
        <w:t xml:space="preserve"> </w:t>
      </w:r>
      <w:r w:rsidR="00DC2975">
        <w:rPr>
          <w:rFonts w:ascii="Times New Roman" w:hAnsi="Times New Roman"/>
          <w:b/>
          <w:sz w:val="28"/>
          <w:szCs w:val="28"/>
        </w:rPr>
        <w:t>GMAC MORTGAGE, LLC et al,  Defendants</w:t>
      </w:r>
      <w:r w:rsidR="00C31C00" w:rsidRPr="00C43C34">
        <w:rPr>
          <w:rFonts w:ascii="Times New Roman" w:hAnsi="Times New Roman"/>
          <w:b/>
          <w:sz w:val="28"/>
          <w:szCs w:val="28"/>
        </w:rPr>
        <w:t xml:space="preserve"> </w:t>
      </w:r>
      <w:r w:rsidR="00DC2975">
        <w:rPr>
          <w:rFonts w:ascii="Times New Roman" w:hAnsi="Times New Roman"/>
          <w:b/>
          <w:sz w:val="28"/>
          <w:szCs w:val="28"/>
        </w:rPr>
        <w:t>‘</w:t>
      </w:r>
      <w:r w:rsidR="00C31C00" w:rsidRPr="00C43C34">
        <w:rPr>
          <w:rFonts w:ascii="Times New Roman" w:hAnsi="Times New Roman"/>
          <w:b/>
          <w:sz w:val="28"/>
          <w:szCs w:val="28"/>
        </w:rPr>
        <w:t xml:space="preserve">  </w:t>
      </w:r>
      <w:r w:rsidR="00C31C00" w:rsidRPr="00C43C34">
        <w:rPr>
          <w:rFonts w:ascii="Times New Roman" w:hAnsi="Times New Roman"/>
          <w:b/>
          <w:sz w:val="28"/>
          <w:szCs w:val="28"/>
        </w:rPr>
        <w:br/>
        <w:t xml:space="preserve"> </w:t>
      </w:r>
      <w:r w:rsidR="00DC2975">
        <w:rPr>
          <w:rFonts w:ascii="Times New Roman" w:hAnsi="Times New Roman"/>
          <w:b/>
          <w:sz w:val="28"/>
          <w:szCs w:val="28"/>
        </w:rPr>
        <w:t>Motion for Judgment on the Pleadings</w:t>
      </w:r>
      <w:r w:rsidR="006D4020" w:rsidRPr="00C43C34">
        <w:rPr>
          <w:rFonts w:ascii="Times New Roman" w:hAnsi="Times New Roman"/>
          <w:sz w:val="28"/>
          <w:szCs w:val="28"/>
        </w:rPr>
        <w:t>, and in support t</w:t>
      </w:r>
      <w:r w:rsidR="00CC51F7">
        <w:rPr>
          <w:rFonts w:ascii="Times New Roman" w:hAnsi="Times New Roman"/>
          <w:sz w:val="28"/>
          <w:szCs w:val="28"/>
        </w:rPr>
        <w:t>hereof show the Court two affidavits in support (attached) and the following</w:t>
      </w:r>
      <w:r w:rsidR="006D4020" w:rsidRPr="00C43C34">
        <w:rPr>
          <w:rFonts w:ascii="Times New Roman" w:hAnsi="Times New Roman"/>
          <w:sz w:val="28"/>
          <w:szCs w:val="28"/>
        </w:rPr>
        <w:t>:</w:t>
      </w:r>
    </w:p>
    <w:p w:rsidR="00F76625" w:rsidRPr="00C43C34" w:rsidRDefault="00F76625"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DC2975" w:rsidRDefault="00DC2975"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jc w:val="center"/>
        <w:rPr>
          <w:rFonts w:ascii="Times New Roman" w:hAnsi="Times New Roman"/>
          <w:b/>
          <w:sz w:val="28"/>
          <w:szCs w:val="28"/>
          <w:u w:val="single"/>
        </w:rPr>
      </w:pPr>
    </w:p>
    <w:p w:rsidR="00F76625" w:rsidRPr="00243694" w:rsidRDefault="006D4020"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jc w:val="center"/>
        <w:rPr>
          <w:rFonts w:ascii="Times New Roman" w:hAnsi="Times New Roman"/>
          <w:b/>
          <w:sz w:val="28"/>
          <w:szCs w:val="28"/>
          <w:u w:val="single"/>
        </w:rPr>
      </w:pPr>
      <w:r w:rsidRPr="00243694">
        <w:rPr>
          <w:rFonts w:ascii="Times New Roman" w:hAnsi="Times New Roman"/>
          <w:b/>
          <w:sz w:val="28"/>
          <w:szCs w:val="28"/>
          <w:u w:val="single"/>
        </w:rPr>
        <w:lastRenderedPageBreak/>
        <w:t>STATEMENT OF FACTS</w:t>
      </w:r>
    </w:p>
    <w:p w:rsidR="00C43C34" w:rsidRPr="00C43C34" w:rsidRDefault="00C43C34" w:rsidP="006A59DE">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 xml:space="preserve">On March 23, 1999, Plaintiff did obtain a mortgage loan from FT Mortgage Companies d/b/a </w:t>
      </w:r>
      <w:proofErr w:type="spellStart"/>
      <w:r w:rsidRPr="00C43C34">
        <w:rPr>
          <w:rFonts w:ascii="Times New Roman" w:hAnsi="Times New Roman"/>
          <w:sz w:val="28"/>
          <w:szCs w:val="28"/>
        </w:rPr>
        <w:t>Equibanc</w:t>
      </w:r>
      <w:proofErr w:type="spellEnd"/>
      <w:r w:rsidRPr="00C43C34">
        <w:rPr>
          <w:rFonts w:ascii="Times New Roman" w:hAnsi="Times New Roman"/>
          <w:sz w:val="28"/>
          <w:szCs w:val="28"/>
        </w:rPr>
        <w:t xml:space="preserve"> Mortgage Corporation in the principal amount of $140, 6000, which was secured by Plaintiff’s residence at 852 Brafferton Place, Stone Mountain, Georgia, 30083 (the Subject Property) [Petition Pg. 16</w:t>
      </w:r>
      <w:r w:rsidR="00DC2975">
        <w:rPr>
          <w:rFonts w:ascii="Times New Roman" w:hAnsi="Times New Roman"/>
          <w:sz w:val="28"/>
          <w:szCs w:val="28"/>
        </w:rPr>
        <w:t>.</w:t>
      </w:r>
      <w:r w:rsidRPr="00C43C34">
        <w:rPr>
          <w:rFonts w:ascii="Times New Roman" w:hAnsi="Times New Roman"/>
          <w:sz w:val="28"/>
          <w:szCs w:val="28"/>
        </w:rPr>
        <w:t>]</w:t>
      </w:r>
      <w:r w:rsidRPr="00C43C34">
        <w:rPr>
          <w:rFonts w:ascii="Times New Roman" w:hAnsi="Times New Roman"/>
          <w:sz w:val="28"/>
          <w:szCs w:val="28"/>
        </w:rPr>
        <w:br/>
      </w:r>
    </w:p>
    <w:p w:rsidR="006A59DE" w:rsidRDefault="00C43C34" w:rsidP="006A59DE">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Plaintiff disputes the Defendants</w:t>
      </w:r>
      <w:r w:rsidR="001F1B14">
        <w:rPr>
          <w:rFonts w:ascii="Times New Roman" w:hAnsi="Times New Roman"/>
          <w:sz w:val="28"/>
          <w:szCs w:val="28"/>
        </w:rPr>
        <w:t>’</w:t>
      </w:r>
      <w:r w:rsidRPr="00C43C34">
        <w:rPr>
          <w:rFonts w:ascii="Times New Roman" w:hAnsi="Times New Roman"/>
          <w:sz w:val="28"/>
          <w:szCs w:val="28"/>
        </w:rPr>
        <w:t xml:space="preserve"> claim</w:t>
      </w:r>
      <w:r w:rsidR="006A59DE">
        <w:rPr>
          <w:rFonts w:ascii="Times New Roman" w:hAnsi="Times New Roman"/>
          <w:sz w:val="28"/>
          <w:szCs w:val="28"/>
        </w:rPr>
        <w:t>s</w:t>
      </w:r>
      <w:r w:rsidRPr="00C43C34">
        <w:rPr>
          <w:rFonts w:ascii="Times New Roman" w:hAnsi="Times New Roman"/>
          <w:sz w:val="28"/>
          <w:szCs w:val="28"/>
        </w:rPr>
        <w:t xml:space="preserve"> that</w:t>
      </w:r>
      <w:r w:rsidR="006A59DE">
        <w:rPr>
          <w:rFonts w:ascii="Times New Roman" w:hAnsi="Times New Roman"/>
          <w:sz w:val="28"/>
          <w:szCs w:val="28"/>
        </w:rPr>
        <w:t>:</w:t>
      </w:r>
    </w:p>
    <w:p w:rsidR="00CC51F7" w:rsidRDefault="006A59DE" w:rsidP="006A59DE">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“The servicing rights for the loan were transferred to </w:t>
      </w:r>
      <w:r w:rsidR="00C43C34" w:rsidRPr="00C43C34">
        <w:rPr>
          <w:rFonts w:ascii="Times New Roman" w:hAnsi="Times New Roman"/>
          <w:sz w:val="28"/>
          <w:szCs w:val="28"/>
        </w:rPr>
        <w:t xml:space="preserve">Homecomings Financial </w:t>
      </w:r>
      <w:r>
        <w:rPr>
          <w:rFonts w:ascii="Times New Roman" w:hAnsi="Times New Roman"/>
          <w:sz w:val="28"/>
          <w:szCs w:val="28"/>
        </w:rPr>
        <w:t xml:space="preserve">Network on July 6, 1999.”  </w:t>
      </w:r>
    </w:p>
    <w:p w:rsidR="00CC51F7" w:rsidRDefault="00CC51F7" w:rsidP="00CC51F7">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C51F7">
        <w:rPr>
          <w:rFonts w:ascii="Times New Roman" w:hAnsi="Times New Roman"/>
          <w:sz w:val="28"/>
          <w:szCs w:val="28"/>
        </w:rPr>
        <w:t xml:space="preserve">In support thereof, I refer the Court to the attached Affidavit by </w:t>
      </w:r>
      <w:r w:rsidRPr="00CC51F7">
        <w:rPr>
          <w:rFonts w:ascii="Times New Roman" w:hAnsi="Times New Roman"/>
          <w:b/>
          <w:sz w:val="28"/>
          <w:szCs w:val="28"/>
        </w:rPr>
        <w:t>Afiya Madzimoyo</w:t>
      </w:r>
      <w:r w:rsidRPr="00CC51F7">
        <w:rPr>
          <w:rFonts w:ascii="Times New Roman" w:hAnsi="Times New Roman"/>
          <w:sz w:val="28"/>
          <w:szCs w:val="28"/>
        </w:rPr>
        <w:t>, wife of the Plaintiff, who has intimate knowledge of the mortgage transactions:</w:t>
      </w:r>
      <w:r>
        <w:rPr>
          <w:rFonts w:ascii="Times New Roman" w:hAnsi="Times New Roman"/>
          <w:sz w:val="28"/>
          <w:szCs w:val="28"/>
        </w:rPr>
        <w:br/>
        <w:t>Afiya Madzimoyo says:</w:t>
      </w:r>
    </w:p>
    <w:p w:rsidR="00CC51F7" w:rsidRPr="00CC51F7" w:rsidRDefault="00CC51F7" w:rsidP="00CC51F7">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w:t>
      </w:r>
      <w:r w:rsidRPr="00CC51F7">
        <w:rPr>
          <w:rFonts w:ascii="Times New Roman" w:hAnsi="Times New Roman"/>
          <w:sz w:val="28"/>
          <w:szCs w:val="28"/>
        </w:rPr>
        <w:t xml:space="preserve">Defendants’ opening statement of the case contains a contradiction of fact.  It is stated that Homecomings Financial Network acquired servicing rights for the loan on July 6, 1999.  In a letter sent to the Plaintiff from Homecomings on April 22, 2009 another date is named.  This is not the last discrepancy I have seen in terms of dates </w:t>
      </w:r>
      <w:r w:rsidRPr="00CC51F7">
        <w:rPr>
          <w:rFonts w:ascii="Times New Roman" w:hAnsi="Times New Roman"/>
          <w:sz w:val="28"/>
          <w:szCs w:val="28"/>
        </w:rPr>
        <w:lastRenderedPageBreak/>
        <w:t>the loan was allegedly transferred for servicing on to another alleged creditor.</w:t>
      </w:r>
      <w:r>
        <w:rPr>
          <w:rFonts w:ascii="Times New Roman" w:hAnsi="Times New Roman"/>
          <w:sz w:val="28"/>
          <w:szCs w:val="28"/>
        </w:rPr>
        <w:t>”</w:t>
      </w:r>
      <w:r w:rsidRPr="00CC51F7">
        <w:rPr>
          <w:rFonts w:ascii="Times New Roman" w:hAnsi="Times New Roman"/>
          <w:sz w:val="28"/>
          <w:szCs w:val="28"/>
        </w:rPr>
        <w:t xml:space="preserve">  </w:t>
      </w:r>
    </w:p>
    <w:p w:rsidR="006A59DE" w:rsidRDefault="006A59DE" w:rsidP="00CC51F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2250"/>
        <w:rPr>
          <w:rFonts w:ascii="Times New Roman" w:hAnsi="Times New Roman"/>
          <w:sz w:val="28"/>
          <w:szCs w:val="28"/>
        </w:rPr>
      </w:pPr>
      <w:r>
        <w:rPr>
          <w:rFonts w:ascii="Times New Roman" w:hAnsi="Times New Roman"/>
          <w:sz w:val="28"/>
          <w:szCs w:val="28"/>
        </w:rPr>
        <w:t xml:space="preserve"> </w:t>
      </w:r>
    </w:p>
    <w:p w:rsidR="00CC51F7" w:rsidRDefault="00CC51F7" w:rsidP="00CC51F7">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C51F7">
        <w:rPr>
          <w:rFonts w:ascii="Times New Roman" w:hAnsi="Times New Roman"/>
          <w:sz w:val="28"/>
          <w:szCs w:val="28"/>
        </w:rPr>
        <w:t>The Plaintiff also opposes the Defendants 2</w:t>
      </w:r>
      <w:r w:rsidRPr="00CC51F7">
        <w:rPr>
          <w:rFonts w:ascii="Times New Roman" w:hAnsi="Times New Roman"/>
          <w:sz w:val="28"/>
          <w:szCs w:val="28"/>
          <w:vertAlign w:val="superscript"/>
        </w:rPr>
        <w:t>nd</w:t>
      </w:r>
      <w:r w:rsidRPr="00CC51F7">
        <w:rPr>
          <w:rFonts w:ascii="Times New Roman" w:hAnsi="Times New Roman"/>
          <w:sz w:val="28"/>
          <w:szCs w:val="28"/>
        </w:rPr>
        <w:t xml:space="preserve"> paragraph where they state: </w:t>
      </w:r>
      <w:r w:rsidR="006A59DE" w:rsidRPr="00CC51F7">
        <w:rPr>
          <w:rFonts w:ascii="Times New Roman" w:hAnsi="Times New Roman"/>
          <w:sz w:val="28"/>
          <w:szCs w:val="28"/>
        </w:rPr>
        <w:t xml:space="preserve">“The servicing rights were subsequently transferred to GMAC Mortgage, LLC (“GMAC”). </w:t>
      </w:r>
      <w:r w:rsidRPr="00CC51F7">
        <w:rPr>
          <w:rFonts w:ascii="Times New Roman" w:hAnsi="Times New Roman"/>
          <w:sz w:val="28"/>
          <w:szCs w:val="28"/>
        </w:rPr>
        <w:t xml:space="preserve"> </w:t>
      </w:r>
      <w:r w:rsidR="00816250" w:rsidRPr="00CC51F7">
        <w:rPr>
          <w:rFonts w:ascii="Times New Roman" w:hAnsi="Times New Roman"/>
          <w:sz w:val="28"/>
          <w:szCs w:val="28"/>
        </w:rPr>
        <w:t xml:space="preserve">“The loan and deed were subsequently assigned to JPMorgan Chase Bank and on April 7, 2006, The Bank of New York Mellon Trust Company, National Association Acquired JP Morgan’s business. </w:t>
      </w:r>
      <w:r w:rsidR="00A05397" w:rsidRPr="00CC51F7">
        <w:rPr>
          <w:rFonts w:ascii="Times New Roman" w:hAnsi="Times New Roman"/>
          <w:sz w:val="28"/>
          <w:szCs w:val="28"/>
        </w:rPr>
        <w:t xml:space="preserve"> </w:t>
      </w:r>
    </w:p>
    <w:p w:rsidR="00CC51F7" w:rsidRDefault="00CC51F7" w:rsidP="00CC51F7">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C51F7">
        <w:rPr>
          <w:rFonts w:ascii="Times New Roman" w:hAnsi="Times New Roman"/>
          <w:sz w:val="28"/>
          <w:szCs w:val="28"/>
        </w:rPr>
        <w:t xml:space="preserve">We call the Court’s attention to Wekesa </w:t>
      </w:r>
      <w:proofErr w:type="spellStart"/>
      <w:r w:rsidRPr="00CC51F7">
        <w:rPr>
          <w:rFonts w:ascii="Times New Roman" w:hAnsi="Times New Roman"/>
          <w:sz w:val="28"/>
          <w:szCs w:val="28"/>
        </w:rPr>
        <w:t>Madzimoyo’s</w:t>
      </w:r>
      <w:proofErr w:type="spellEnd"/>
      <w:r w:rsidRPr="00CC51F7">
        <w:rPr>
          <w:rFonts w:ascii="Times New Roman" w:hAnsi="Times New Roman"/>
          <w:sz w:val="28"/>
          <w:szCs w:val="28"/>
        </w:rPr>
        <w:t xml:space="preserve">  sworn testimony in an attached Affidavit:</w:t>
      </w:r>
    </w:p>
    <w:p w:rsidR="00CC51F7" w:rsidRPr="00CC51F7" w:rsidRDefault="00CC51F7" w:rsidP="00CC51F7">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C51F7">
        <w:rPr>
          <w:rFonts w:ascii="Times New Roman" w:hAnsi="Times New Roman"/>
          <w:sz w:val="28"/>
          <w:szCs w:val="28"/>
        </w:rPr>
        <w:t>“The Defendants’ statement of the facts is misleading and false. As stated</w:t>
      </w:r>
      <w:r>
        <w:rPr>
          <w:rFonts w:ascii="Times New Roman" w:hAnsi="Times New Roman"/>
          <w:sz w:val="28"/>
          <w:szCs w:val="28"/>
        </w:rPr>
        <w:t>, it</w:t>
      </w:r>
      <w:r w:rsidRPr="00CC51F7">
        <w:rPr>
          <w:rFonts w:ascii="Times New Roman" w:hAnsi="Times New Roman"/>
          <w:sz w:val="28"/>
          <w:szCs w:val="28"/>
        </w:rPr>
        <w:t xml:space="preserve"> leads one the conclusion that </w:t>
      </w:r>
      <w:r>
        <w:rPr>
          <w:rFonts w:ascii="Times New Roman" w:hAnsi="Times New Roman"/>
          <w:sz w:val="28"/>
          <w:szCs w:val="28"/>
        </w:rPr>
        <w:t>BANK OF NEW YORK MELON TRUST CO, NA (</w:t>
      </w:r>
      <w:r w:rsidRPr="00CC51F7">
        <w:rPr>
          <w:rFonts w:ascii="Times New Roman" w:hAnsi="Times New Roman"/>
          <w:sz w:val="28"/>
          <w:szCs w:val="28"/>
        </w:rPr>
        <w:t>BNYMT</w:t>
      </w:r>
      <w:r>
        <w:rPr>
          <w:rFonts w:ascii="Times New Roman" w:hAnsi="Times New Roman"/>
          <w:sz w:val="28"/>
          <w:szCs w:val="28"/>
        </w:rPr>
        <w:t>)</w:t>
      </w:r>
      <w:r w:rsidRPr="00CC51F7">
        <w:rPr>
          <w:rFonts w:ascii="Times New Roman" w:hAnsi="Times New Roman"/>
          <w:sz w:val="28"/>
          <w:szCs w:val="28"/>
        </w:rPr>
        <w:t xml:space="preserve"> is the legal secured creditor and or </w:t>
      </w:r>
      <w:r>
        <w:rPr>
          <w:rFonts w:ascii="Times New Roman" w:hAnsi="Times New Roman"/>
          <w:sz w:val="28"/>
          <w:szCs w:val="28"/>
        </w:rPr>
        <w:t xml:space="preserve">note </w:t>
      </w:r>
      <w:r w:rsidRPr="00CC51F7">
        <w:rPr>
          <w:rFonts w:ascii="Times New Roman" w:hAnsi="Times New Roman"/>
          <w:sz w:val="28"/>
          <w:szCs w:val="28"/>
        </w:rPr>
        <w:t xml:space="preserve">holder in due course.  Terribly missing is </w:t>
      </w:r>
      <w:r>
        <w:rPr>
          <w:rFonts w:ascii="Times New Roman" w:hAnsi="Times New Roman"/>
          <w:sz w:val="28"/>
          <w:szCs w:val="28"/>
        </w:rPr>
        <w:t xml:space="preserve">an </w:t>
      </w:r>
      <w:r w:rsidRPr="00CC51F7">
        <w:rPr>
          <w:rFonts w:ascii="Times New Roman" w:hAnsi="Times New Roman"/>
          <w:sz w:val="28"/>
          <w:szCs w:val="28"/>
        </w:rPr>
        <w:t>accounting for 10 years of mortgage transfer from FT Mortgage</w:t>
      </w:r>
      <w:r>
        <w:rPr>
          <w:rFonts w:ascii="Times New Roman" w:hAnsi="Times New Roman"/>
          <w:sz w:val="28"/>
          <w:szCs w:val="28"/>
        </w:rPr>
        <w:t xml:space="preserve"> (with whom we signed the promissory note)</w:t>
      </w:r>
      <w:r w:rsidRPr="00CC51F7">
        <w:rPr>
          <w:rFonts w:ascii="Times New Roman" w:hAnsi="Times New Roman"/>
          <w:sz w:val="28"/>
          <w:szCs w:val="28"/>
        </w:rPr>
        <w:t xml:space="preserve"> to one or more </w:t>
      </w:r>
      <w:r>
        <w:rPr>
          <w:rFonts w:ascii="Times New Roman" w:hAnsi="Times New Roman"/>
          <w:sz w:val="28"/>
          <w:szCs w:val="28"/>
        </w:rPr>
        <w:t>Mortgage Back S</w:t>
      </w:r>
      <w:r w:rsidRPr="00CC51F7">
        <w:rPr>
          <w:rFonts w:ascii="Times New Roman" w:hAnsi="Times New Roman"/>
          <w:sz w:val="28"/>
          <w:szCs w:val="28"/>
        </w:rPr>
        <w:t>ecurities</w:t>
      </w:r>
      <w:r>
        <w:rPr>
          <w:rFonts w:ascii="Times New Roman" w:hAnsi="Times New Roman"/>
          <w:sz w:val="28"/>
          <w:szCs w:val="28"/>
        </w:rPr>
        <w:t xml:space="preserve"> (MBS)</w:t>
      </w:r>
      <w:r w:rsidRPr="00CC51F7">
        <w:rPr>
          <w:rFonts w:ascii="Times New Roman" w:hAnsi="Times New Roman"/>
          <w:sz w:val="28"/>
          <w:szCs w:val="28"/>
        </w:rPr>
        <w:t xml:space="preserve"> pool</w:t>
      </w:r>
      <w:r>
        <w:rPr>
          <w:rFonts w:ascii="Times New Roman" w:hAnsi="Times New Roman"/>
          <w:sz w:val="28"/>
          <w:szCs w:val="28"/>
        </w:rPr>
        <w:t>s</w:t>
      </w:r>
      <w:r w:rsidRPr="00CC51F7">
        <w:rPr>
          <w:rFonts w:ascii="Times New Roman" w:hAnsi="Times New Roman"/>
          <w:sz w:val="28"/>
          <w:szCs w:val="28"/>
        </w:rPr>
        <w:t xml:space="preserve"> and into the hands of BNYMT. </w:t>
      </w:r>
      <w:r>
        <w:rPr>
          <w:rFonts w:ascii="Times New Roman" w:hAnsi="Times New Roman"/>
          <w:sz w:val="28"/>
          <w:szCs w:val="28"/>
        </w:rPr>
        <w:t xml:space="preserve"> </w:t>
      </w:r>
      <w:r w:rsidRPr="00CC51F7">
        <w:rPr>
          <w:rFonts w:ascii="Times New Roman" w:hAnsi="Times New Roman"/>
          <w:sz w:val="28"/>
          <w:szCs w:val="28"/>
        </w:rPr>
        <w:t xml:space="preserve">Notice the </w:t>
      </w:r>
      <w:r>
        <w:rPr>
          <w:rFonts w:ascii="Times New Roman" w:hAnsi="Times New Roman"/>
          <w:sz w:val="28"/>
          <w:szCs w:val="28"/>
        </w:rPr>
        <w:t xml:space="preserve">Defendants </w:t>
      </w:r>
      <w:r w:rsidRPr="00CC51F7">
        <w:rPr>
          <w:rFonts w:ascii="Times New Roman" w:hAnsi="Times New Roman"/>
          <w:sz w:val="28"/>
          <w:szCs w:val="28"/>
        </w:rPr>
        <w:t xml:space="preserve">use of the passive voice which </w:t>
      </w:r>
      <w:r>
        <w:rPr>
          <w:rFonts w:ascii="Times New Roman" w:hAnsi="Times New Roman"/>
          <w:sz w:val="28"/>
          <w:szCs w:val="28"/>
        </w:rPr>
        <w:t xml:space="preserve">tends to </w:t>
      </w:r>
      <w:r w:rsidRPr="00CC51F7">
        <w:rPr>
          <w:rFonts w:ascii="Times New Roman" w:hAnsi="Times New Roman"/>
          <w:sz w:val="28"/>
          <w:szCs w:val="28"/>
        </w:rPr>
        <w:t>add an air of legitimacy and</w:t>
      </w:r>
      <w:r>
        <w:rPr>
          <w:rFonts w:ascii="Times New Roman" w:hAnsi="Times New Roman"/>
          <w:sz w:val="28"/>
          <w:szCs w:val="28"/>
        </w:rPr>
        <w:t xml:space="preserve"> simultaneously</w:t>
      </w:r>
      <w:r w:rsidRPr="00CC51F7">
        <w:rPr>
          <w:rFonts w:ascii="Times New Roman" w:hAnsi="Times New Roman"/>
          <w:sz w:val="28"/>
          <w:szCs w:val="28"/>
        </w:rPr>
        <w:t xml:space="preserve"> makes the actor invisible. </w:t>
      </w:r>
      <w:r>
        <w:rPr>
          <w:rFonts w:ascii="Times New Roman" w:hAnsi="Times New Roman"/>
          <w:sz w:val="28"/>
          <w:szCs w:val="28"/>
        </w:rPr>
        <w:t xml:space="preserve">We need to see the other </w:t>
      </w:r>
      <w:r>
        <w:rPr>
          <w:rFonts w:ascii="Times New Roman" w:hAnsi="Times New Roman"/>
          <w:sz w:val="28"/>
          <w:szCs w:val="28"/>
        </w:rPr>
        <w:lastRenderedPageBreak/>
        <w:t xml:space="preserve">party. </w:t>
      </w:r>
      <w:r w:rsidRPr="00CC51F7">
        <w:rPr>
          <w:rFonts w:ascii="Times New Roman" w:hAnsi="Times New Roman"/>
          <w:sz w:val="28"/>
          <w:szCs w:val="28"/>
        </w:rPr>
        <w:t>The operative question is from whom did JPMC receive the mortgage?</w:t>
      </w:r>
      <w:r>
        <w:rPr>
          <w:rFonts w:ascii="Times New Roman" w:hAnsi="Times New Roman"/>
          <w:sz w:val="28"/>
          <w:szCs w:val="28"/>
        </w:rPr>
        <w:t>”</w:t>
      </w:r>
    </w:p>
    <w:p w:rsidR="00CC51F7" w:rsidRDefault="00CC51F7" w:rsidP="00CC51F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540"/>
        <w:rPr>
          <w:rFonts w:ascii="Times New Roman" w:hAnsi="Times New Roman"/>
          <w:sz w:val="28"/>
          <w:szCs w:val="28"/>
        </w:rPr>
      </w:pPr>
    </w:p>
    <w:p w:rsidR="00F76625" w:rsidRPr="00CC51F7" w:rsidRDefault="00CC51F7" w:rsidP="00CC51F7">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The Plaintiff also wishes to point out </w:t>
      </w:r>
      <w:r w:rsidR="00A05397" w:rsidRPr="00CC51F7">
        <w:rPr>
          <w:rFonts w:ascii="Times New Roman" w:hAnsi="Times New Roman"/>
          <w:sz w:val="28"/>
          <w:szCs w:val="28"/>
        </w:rPr>
        <w:t>the contradiction in GMAC letter dated June 10</w:t>
      </w:r>
      <w:r w:rsidR="00A05397" w:rsidRPr="00CC51F7">
        <w:rPr>
          <w:rFonts w:ascii="Times New Roman" w:hAnsi="Times New Roman"/>
          <w:sz w:val="28"/>
          <w:szCs w:val="28"/>
          <w:vertAlign w:val="superscript"/>
        </w:rPr>
        <w:t>th</w:t>
      </w:r>
      <w:r w:rsidR="00A05397" w:rsidRPr="00CC51F7">
        <w:rPr>
          <w:rFonts w:ascii="Times New Roman" w:hAnsi="Times New Roman"/>
          <w:sz w:val="28"/>
          <w:szCs w:val="28"/>
        </w:rPr>
        <w:t xml:space="preserve"> stating that RESIDENTIAL FUNDING CORP “currently owns interest in your account. “  (See Attachment E for Copies of Defendants’ Letters.) </w:t>
      </w:r>
      <w:r w:rsidR="0038693F" w:rsidRPr="00CC51F7">
        <w:rPr>
          <w:rFonts w:ascii="Times New Roman" w:hAnsi="Times New Roman"/>
          <w:sz w:val="28"/>
          <w:szCs w:val="28"/>
        </w:rPr>
        <w:t xml:space="preserve">To date, </w:t>
      </w:r>
      <w:r w:rsidR="00816250" w:rsidRPr="00CC51F7">
        <w:rPr>
          <w:rFonts w:ascii="Times New Roman" w:hAnsi="Times New Roman"/>
          <w:sz w:val="28"/>
          <w:szCs w:val="28"/>
        </w:rPr>
        <w:t xml:space="preserve">Plaintiff has received no proof that his loan and deed for the Subject Property executed with FT Mortgage Companies d/b/a </w:t>
      </w:r>
      <w:proofErr w:type="spellStart"/>
      <w:r w:rsidR="00816250" w:rsidRPr="00CC51F7">
        <w:rPr>
          <w:rFonts w:ascii="Times New Roman" w:hAnsi="Times New Roman"/>
          <w:sz w:val="28"/>
          <w:szCs w:val="28"/>
        </w:rPr>
        <w:t>Equibanc</w:t>
      </w:r>
      <w:proofErr w:type="spellEnd"/>
      <w:r w:rsidR="00816250" w:rsidRPr="00CC51F7">
        <w:rPr>
          <w:rFonts w:ascii="Times New Roman" w:hAnsi="Times New Roman"/>
          <w:sz w:val="28"/>
          <w:szCs w:val="28"/>
        </w:rPr>
        <w:t xml:space="preserve"> Mortgage Corporation was indeed legally assigned to JPMorgan Chase Bank.  Since April 13, 2009, the Plaintiff has repeatedly requested</w:t>
      </w:r>
      <w:r w:rsidR="00C55B27" w:rsidRPr="00CC51F7">
        <w:rPr>
          <w:rFonts w:ascii="Times New Roman" w:hAnsi="Times New Roman"/>
          <w:sz w:val="28"/>
          <w:szCs w:val="28"/>
        </w:rPr>
        <w:t>,</w:t>
      </w:r>
      <w:r w:rsidR="00816250" w:rsidRPr="00CC51F7">
        <w:rPr>
          <w:rFonts w:ascii="Times New Roman" w:hAnsi="Times New Roman"/>
          <w:sz w:val="28"/>
          <w:szCs w:val="28"/>
        </w:rPr>
        <w:t xml:space="preserve"> and the Defendants have staunchly refused to provide such documentation.</w:t>
      </w:r>
      <w:r w:rsidR="00252113" w:rsidRPr="00CC51F7">
        <w:rPr>
          <w:rFonts w:ascii="Times New Roman" w:hAnsi="Times New Roman"/>
          <w:sz w:val="28"/>
          <w:szCs w:val="28"/>
        </w:rPr>
        <w:br/>
      </w:r>
    </w:p>
    <w:p w:rsidR="00CC51F7" w:rsidRDefault="00CC51F7" w:rsidP="00CC51F7">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Mr. Madzimoyo continues via Affidavit to speak in opposition the last paragraph in the </w:t>
      </w:r>
      <w:r w:rsidR="00C55B27">
        <w:rPr>
          <w:rFonts w:ascii="Times New Roman" w:hAnsi="Times New Roman"/>
          <w:sz w:val="28"/>
          <w:szCs w:val="28"/>
        </w:rPr>
        <w:t xml:space="preserve">Defendant </w:t>
      </w:r>
      <w:r>
        <w:rPr>
          <w:rFonts w:ascii="Times New Roman" w:hAnsi="Times New Roman"/>
          <w:sz w:val="28"/>
          <w:szCs w:val="28"/>
        </w:rPr>
        <w:t>introduction and summary of the facts.</w:t>
      </w:r>
      <w:r>
        <w:rPr>
          <w:rFonts w:ascii="Times New Roman" w:hAnsi="Times New Roman"/>
          <w:sz w:val="28"/>
          <w:szCs w:val="28"/>
        </w:rPr>
        <w:br/>
      </w:r>
      <w:r w:rsidR="00C55B27">
        <w:rPr>
          <w:rFonts w:ascii="Times New Roman" w:hAnsi="Times New Roman"/>
          <w:sz w:val="28"/>
          <w:szCs w:val="28"/>
        </w:rPr>
        <w:t xml:space="preserve"> </w:t>
      </w:r>
      <w:r>
        <w:rPr>
          <w:rFonts w:ascii="Times New Roman" w:hAnsi="Times New Roman"/>
          <w:sz w:val="28"/>
          <w:szCs w:val="28"/>
        </w:rPr>
        <w:t>Defendant said: “</w:t>
      </w:r>
      <w:proofErr w:type="gramStart"/>
      <w:r w:rsidR="00607BDE" w:rsidRPr="008F34FF">
        <w:rPr>
          <w:rFonts w:ascii="Times New Roman" w:hAnsi="Times New Roman"/>
          <w:sz w:val="28"/>
          <w:szCs w:val="28"/>
        </w:rPr>
        <w:t>Plaintiff</w:t>
      </w:r>
      <w:r w:rsidR="00C55B27">
        <w:rPr>
          <w:rFonts w:ascii="Times New Roman" w:hAnsi="Times New Roman"/>
          <w:sz w:val="28"/>
          <w:szCs w:val="28"/>
        </w:rPr>
        <w:t xml:space="preserve"> </w:t>
      </w:r>
      <w:r w:rsidR="008F34FF" w:rsidRPr="008F34FF">
        <w:rPr>
          <w:rFonts w:ascii="Times New Roman" w:hAnsi="Times New Roman"/>
          <w:sz w:val="28"/>
          <w:szCs w:val="28"/>
        </w:rPr>
        <w:t xml:space="preserve"> </w:t>
      </w:r>
      <w:r w:rsidR="008F34FF">
        <w:rPr>
          <w:rFonts w:ascii="Times New Roman" w:hAnsi="Times New Roman"/>
          <w:sz w:val="28"/>
          <w:szCs w:val="28"/>
        </w:rPr>
        <w:t>file</w:t>
      </w:r>
      <w:r w:rsidR="00A05397">
        <w:rPr>
          <w:rFonts w:ascii="Times New Roman" w:hAnsi="Times New Roman"/>
          <w:sz w:val="28"/>
          <w:szCs w:val="28"/>
        </w:rPr>
        <w:t>d</w:t>
      </w:r>
      <w:proofErr w:type="gramEnd"/>
      <w:r w:rsidR="00A05397">
        <w:rPr>
          <w:rFonts w:ascii="Times New Roman" w:hAnsi="Times New Roman"/>
          <w:sz w:val="28"/>
          <w:szCs w:val="28"/>
        </w:rPr>
        <w:t xml:space="preserve"> </w:t>
      </w:r>
      <w:r w:rsidR="008F34FF">
        <w:rPr>
          <w:rFonts w:ascii="Times New Roman" w:hAnsi="Times New Roman"/>
          <w:sz w:val="28"/>
          <w:szCs w:val="28"/>
        </w:rPr>
        <w:t>the instant action on July 29, 2009 due to the Defendants failure to produce the original note.</w:t>
      </w:r>
      <w:r>
        <w:rPr>
          <w:rFonts w:ascii="Times New Roman" w:hAnsi="Times New Roman"/>
          <w:sz w:val="28"/>
          <w:szCs w:val="28"/>
        </w:rPr>
        <w:t xml:space="preserve">” </w:t>
      </w:r>
    </w:p>
    <w:p w:rsidR="00CC51F7" w:rsidRDefault="00CC51F7" w:rsidP="00CC51F7">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w:t>
      </w:r>
      <w:r w:rsidRPr="00CC51F7">
        <w:rPr>
          <w:rFonts w:ascii="Times New Roman" w:hAnsi="Times New Roman"/>
          <w:sz w:val="28"/>
          <w:szCs w:val="28"/>
        </w:rPr>
        <w:t xml:space="preserve">The Defendants create a </w:t>
      </w:r>
      <w:r>
        <w:rPr>
          <w:rFonts w:ascii="Times New Roman" w:hAnsi="Times New Roman"/>
          <w:sz w:val="28"/>
          <w:szCs w:val="28"/>
        </w:rPr>
        <w:t xml:space="preserve">Produce-The-Note </w:t>
      </w:r>
      <w:r w:rsidRPr="00CC51F7">
        <w:rPr>
          <w:rFonts w:ascii="Times New Roman" w:hAnsi="Times New Roman"/>
          <w:sz w:val="28"/>
          <w:szCs w:val="28"/>
        </w:rPr>
        <w:t xml:space="preserve">straw-man then vigorously attacks it by reframing and reducing the Plaintiff’s claims to a “produce the note” or you can’t foreclose strategy. Even a cursory reading of the Plaintiff’s complaint shows that The Plaintiff </w:t>
      </w:r>
      <w:r w:rsidRPr="00CC51F7">
        <w:rPr>
          <w:rFonts w:ascii="Times New Roman" w:hAnsi="Times New Roman"/>
          <w:sz w:val="28"/>
          <w:szCs w:val="28"/>
        </w:rPr>
        <w:lastRenderedPageBreak/>
        <w:t xml:space="preserve">claims are rooted in Georgia </w:t>
      </w:r>
      <w:r>
        <w:rPr>
          <w:rFonts w:ascii="Times New Roman" w:hAnsi="Times New Roman"/>
          <w:sz w:val="28"/>
          <w:szCs w:val="28"/>
        </w:rPr>
        <w:t>Mortgage Law OGCA 44-14-162.2 which states that it’s illegal to move to foreclosure without proper assignments and records of true ownership in place.</w:t>
      </w:r>
    </w:p>
    <w:p w:rsidR="00CC51F7" w:rsidRDefault="00CC51F7" w:rsidP="00CC51F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530"/>
        <w:rPr>
          <w:rFonts w:ascii="Times New Roman" w:hAnsi="Times New Roman"/>
          <w:sz w:val="28"/>
          <w:szCs w:val="28"/>
        </w:rPr>
      </w:pPr>
      <w:r>
        <w:rPr>
          <w:rFonts w:ascii="Times New Roman" w:hAnsi="Times New Roman"/>
          <w:sz w:val="28"/>
          <w:szCs w:val="28"/>
        </w:rPr>
        <w:t xml:space="preserve"> </w:t>
      </w:r>
      <w:r w:rsidRPr="00CC51F7">
        <w:rPr>
          <w:rFonts w:ascii="Times New Roman" w:hAnsi="Times New Roman"/>
          <w:sz w:val="28"/>
          <w:szCs w:val="28"/>
        </w:rPr>
        <w:t xml:space="preserve">Even further examination reveals the </w:t>
      </w:r>
      <w:r>
        <w:rPr>
          <w:rFonts w:ascii="Times New Roman" w:hAnsi="Times New Roman"/>
          <w:sz w:val="28"/>
          <w:szCs w:val="28"/>
        </w:rPr>
        <w:t xml:space="preserve">18 questions contained in the </w:t>
      </w:r>
      <w:r w:rsidRPr="00CC51F7">
        <w:rPr>
          <w:rFonts w:ascii="Times New Roman" w:hAnsi="Times New Roman"/>
          <w:sz w:val="28"/>
          <w:szCs w:val="28"/>
        </w:rPr>
        <w:t xml:space="preserve">initial letters received by the Defendants </w:t>
      </w:r>
      <w:r>
        <w:rPr>
          <w:rFonts w:ascii="Times New Roman" w:hAnsi="Times New Roman"/>
          <w:sz w:val="28"/>
          <w:szCs w:val="28"/>
        </w:rPr>
        <w:t xml:space="preserve">that I wanted to </w:t>
      </w:r>
      <w:r w:rsidRPr="00CC51F7">
        <w:rPr>
          <w:rFonts w:ascii="Times New Roman" w:hAnsi="Times New Roman"/>
          <w:sz w:val="28"/>
          <w:szCs w:val="28"/>
        </w:rPr>
        <w:t xml:space="preserve">use to verify </w:t>
      </w:r>
      <w:proofErr w:type="gramStart"/>
      <w:r w:rsidRPr="00CC51F7">
        <w:rPr>
          <w:rFonts w:ascii="Times New Roman" w:hAnsi="Times New Roman"/>
          <w:sz w:val="28"/>
          <w:szCs w:val="28"/>
        </w:rPr>
        <w:t>the</w:t>
      </w:r>
      <w:proofErr w:type="gramEnd"/>
      <w:r w:rsidRPr="00CC51F7">
        <w:rPr>
          <w:rFonts w:ascii="Times New Roman" w:hAnsi="Times New Roman"/>
          <w:sz w:val="28"/>
          <w:szCs w:val="28"/>
        </w:rPr>
        <w:t xml:space="preserve"> Defendants’ standing as the secured creditor, legal </w:t>
      </w:r>
      <w:proofErr w:type="spellStart"/>
      <w:r w:rsidRPr="00CC51F7">
        <w:rPr>
          <w:rFonts w:ascii="Times New Roman" w:hAnsi="Times New Roman"/>
          <w:sz w:val="28"/>
          <w:szCs w:val="28"/>
        </w:rPr>
        <w:t>servicers</w:t>
      </w:r>
      <w:proofErr w:type="spellEnd"/>
      <w:r w:rsidRPr="00CC51F7">
        <w:rPr>
          <w:rFonts w:ascii="Times New Roman" w:hAnsi="Times New Roman"/>
          <w:sz w:val="28"/>
          <w:szCs w:val="28"/>
        </w:rPr>
        <w:t xml:space="preserve">, attorney, trustee, etc. as defined by GA state law. </w:t>
      </w:r>
      <w:r>
        <w:rPr>
          <w:rFonts w:ascii="Times New Roman" w:hAnsi="Times New Roman"/>
          <w:sz w:val="28"/>
          <w:szCs w:val="28"/>
        </w:rPr>
        <w:br/>
      </w:r>
      <w:r w:rsidRPr="00CC51F7">
        <w:rPr>
          <w:rFonts w:ascii="Times New Roman" w:hAnsi="Times New Roman"/>
          <w:sz w:val="28"/>
          <w:szCs w:val="28"/>
        </w:rPr>
        <w:t xml:space="preserve">“Produce The Note” was but a small part of a much larger request for documents governing the multiple agreements between buyers, sellers, investors, etc. when the note that I </w:t>
      </w:r>
      <w:r>
        <w:rPr>
          <w:rFonts w:ascii="Times New Roman" w:hAnsi="Times New Roman"/>
          <w:sz w:val="28"/>
          <w:szCs w:val="28"/>
        </w:rPr>
        <w:t>signed with FT Mortgage</w:t>
      </w:r>
      <w:r w:rsidRPr="00CC51F7">
        <w:rPr>
          <w:rFonts w:ascii="Times New Roman" w:hAnsi="Times New Roman"/>
          <w:sz w:val="28"/>
          <w:szCs w:val="28"/>
        </w:rPr>
        <w:t xml:space="preserve"> was </w:t>
      </w:r>
      <w:r>
        <w:rPr>
          <w:rFonts w:ascii="Times New Roman" w:hAnsi="Times New Roman"/>
          <w:sz w:val="28"/>
          <w:szCs w:val="28"/>
        </w:rPr>
        <w:t xml:space="preserve">somehow and without my knowledge and consent </w:t>
      </w:r>
      <w:r w:rsidRPr="00CC51F7">
        <w:rPr>
          <w:rFonts w:ascii="Times New Roman" w:hAnsi="Times New Roman"/>
          <w:sz w:val="28"/>
          <w:szCs w:val="28"/>
        </w:rPr>
        <w:t xml:space="preserve">turned into and securities instrument to be traded on </w:t>
      </w:r>
      <w:r>
        <w:rPr>
          <w:rFonts w:ascii="Times New Roman" w:hAnsi="Times New Roman"/>
          <w:sz w:val="28"/>
          <w:szCs w:val="28"/>
        </w:rPr>
        <w:t>W</w:t>
      </w:r>
      <w:r w:rsidRPr="00CC51F7">
        <w:rPr>
          <w:rFonts w:ascii="Times New Roman" w:hAnsi="Times New Roman"/>
          <w:sz w:val="28"/>
          <w:szCs w:val="28"/>
        </w:rPr>
        <w:t xml:space="preserve">all </w:t>
      </w:r>
      <w:r>
        <w:rPr>
          <w:rFonts w:ascii="Times New Roman" w:hAnsi="Times New Roman"/>
          <w:sz w:val="28"/>
          <w:szCs w:val="28"/>
        </w:rPr>
        <w:t>S</w:t>
      </w:r>
      <w:r w:rsidRPr="00CC51F7">
        <w:rPr>
          <w:rFonts w:ascii="Times New Roman" w:hAnsi="Times New Roman"/>
          <w:sz w:val="28"/>
          <w:szCs w:val="28"/>
        </w:rPr>
        <w:t xml:space="preserve">treet.  </w:t>
      </w:r>
      <w:r>
        <w:rPr>
          <w:rFonts w:ascii="Times New Roman" w:hAnsi="Times New Roman"/>
          <w:sz w:val="28"/>
          <w:szCs w:val="28"/>
        </w:rPr>
        <w:br/>
      </w:r>
      <w:r w:rsidRPr="00CC51F7">
        <w:rPr>
          <w:rFonts w:ascii="Times New Roman" w:hAnsi="Times New Roman"/>
          <w:sz w:val="28"/>
          <w:szCs w:val="28"/>
        </w:rPr>
        <w:t xml:space="preserve">The Defendant’s Produce-The-Note straw man is a </w:t>
      </w:r>
      <w:r>
        <w:rPr>
          <w:rFonts w:ascii="Times New Roman" w:hAnsi="Times New Roman"/>
          <w:sz w:val="28"/>
          <w:szCs w:val="28"/>
        </w:rPr>
        <w:t xml:space="preserve">way of </w:t>
      </w:r>
      <w:r w:rsidRPr="00CC51F7">
        <w:rPr>
          <w:rFonts w:ascii="Times New Roman" w:hAnsi="Times New Roman"/>
          <w:sz w:val="28"/>
          <w:szCs w:val="28"/>
        </w:rPr>
        <w:t>deflecting</w:t>
      </w:r>
      <w:r>
        <w:rPr>
          <w:rFonts w:ascii="Times New Roman" w:hAnsi="Times New Roman"/>
          <w:sz w:val="28"/>
          <w:szCs w:val="28"/>
        </w:rPr>
        <w:t xml:space="preserve"> attention </w:t>
      </w:r>
      <w:r w:rsidRPr="00CC51F7">
        <w:rPr>
          <w:rFonts w:ascii="Times New Roman" w:hAnsi="Times New Roman"/>
          <w:sz w:val="28"/>
          <w:szCs w:val="28"/>
        </w:rPr>
        <w:t>away from their illegal behavior from 852 Brafferton Place Stone Mountain, GA to Wall Street.</w:t>
      </w:r>
      <w:r>
        <w:rPr>
          <w:rFonts w:ascii="Times New Roman" w:hAnsi="Times New Roman"/>
          <w:sz w:val="28"/>
          <w:szCs w:val="28"/>
        </w:rPr>
        <w:t>”</w:t>
      </w:r>
    </w:p>
    <w:p w:rsidR="008F34FF" w:rsidRPr="00C43C34" w:rsidRDefault="008F34FF" w:rsidP="00CC51F7">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  </w:t>
      </w:r>
      <w:r w:rsidR="00C55B27">
        <w:rPr>
          <w:rFonts w:ascii="Times New Roman" w:hAnsi="Times New Roman"/>
          <w:sz w:val="28"/>
          <w:szCs w:val="28"/>
        </w:rPr>
        <w:t>Contrary to the Defendant’s version, t</w:t>
      </w:r>
      <w:r>
        <w:rPr>
          <w:rFonts w:ascii="Times New Roman" w:hAnsi="Times New Roman"/>
          <w:sz w:val="28"/>
          <w:szCs w:val="28"/>
        </w:rPr>
        <w:t xml:space="preserve">he Plaintiff </w:t>
      </w:r>
      <w:r w:rsidRPr="008F34FF">
        <w:rPr>
          <w:rFonts w:ascii="Times New Roman" w:hAnsi="Times New Roman"/>
          <w:sz w:val="28"/>
          <w:szCs w:val="28"/>
        </w:rPr>
        <w:t xml:space="preserve">filed </w:t>
      </w:r>
      <w:r>
        <w:rPr>
          <w:rFonts w:ascii="Times New Roman" w:hAnsi="Times New Roman"/>
          <w:sz w:val="28"/>
          <w:szCs w:val="28"/>
        </w:rPr>
        <w:t>i</w:t>
      </w:r>
      <w:r w:rsidRPr="008F34FF">
        <w:rPr>
          <w:rFonts w:ascii="Times New Roman" w:hAnsi="Times New Roman"/>
          <w:sz w:val="28"/>
          <w:szCs w:val="28"/>
        </w:rPr>
        <w:t xml:space="preserve">n an attempt to halt the impending non-judicial foreclosure as required by </w:t>
      </w:r>
      <w:r w:rsidRPr="00C43C34">
        <w:rPr>
          <w:rFonts w:ascii="Times New Roman" w:hAnsi="Times New Roman"/>
          <w:sz w:val="28"/>
          <w:szCs w:val="28"/>
        </w:rPr>
        <w:t>OCGA § 44-14-162</w:t>
      </w:r>
      <w:r>
        <w:rPr>
          <w:rFonts w:ascii="Times New Roman" w:hAnsi="Times New Roman"/>
          <w:sz w:val="28"/>
          <w:szCs w:val="28"/>
        </w:rPr>
        <w:t xml:space="preserve"> as the Defendants </w:t>
      </w:r>
      <w:r w:rsidRPr="00C43C34">
        <w:rPr>
          <w:rFonts w:ascii="Times New Roman" w:hAnsi="Times New Roman"/>
          <w:sz w:val="28"/>
          <w:szCs w:val="28"/>
        </w:rPr>
        <w:t xml:space="preserve">move to foreclosure without </w:t>
      </w:r>
      <w:r>
        <w:rPr>
          <w:rFonts w:ascii="Times New Roman" w:hAnsi="Times New Roman"/>
          <w:sz w:val="28"/>
          <w:szCs w:val="28"/>
        </w:rPr>
        <w:t>a</w:t>
      </w:r>
      <w:r w:rsidRPr="00C43C34">
        <w:rPr>
          <w:rFonts w:ascii="Times New Roman" w:hAnsi="Times New Roman"/>
          <w:sz w:val="28"/>
          <w:szCs w:val="28"/>
        </w:rPr>
        <w:t xml:space="preserve"> proper recording of assignments is unlawful according to OCGA § 44-14-162</w:t>
      </w:r>
      <w:r>
        <w:rPr>
          <w:rFonts w:ascii="Times New Roman" w:hAnsi="Times New Roman"/>
          <w:sz w:val="28"/>
          <w:szCs w:val="28"/>
        </w:rPr>
        <w:t>.</w:t>
      </w:r>
    </w:p>
    <w:p w:rsidR="002B5B0B" w:rsidRDefault="002B5B0B"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C55B27" w:rsidRDefault="00C55B27" w:rsidP="002B5B0B">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jc w:val="center"/>
        <w:rPr>
          <w:rFonts w:ascii="Times New Roman" w:hAnsi="Times New Roman"/>
          <w:b/>
          <w:sz w:val="28"/>
          <w:szCs w:val="28"/>
        </w:rPr>
      </w:pPr>
    </w:p>
    <w:p w:rsidR="00C55B27" w:rsidRDefault="00C55B27" w:rsidP="002B5B0B">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jc w:val="center"/>
        <w:rPr>
          <w:rFonts w:ascii="Times New Roman" w:hAnsi="Times New Roman"/>
          <w:b/>
          <w:sz w:val="28"/>
          <w:szCs w:val="28"/>
        </w:rPr>
      </w:pPr>
    </w:p>
    <w:p w:rsidR="002B5B0B" w:rsidRPr="002B5B0B" w:rsidRDefault="002B5B0B" w:rsidP="002B5B0B">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jc w:val="center"/>
        <w:rPr>
          <w:rFonts w:ascii="Times New Roman" w:hAnsi="Times New Roman"/>
          <w:b/>
          <w:sz w:val="28"/>
          <w:szCs w:val="28"/>
        </w:rPr>
      </w:pPr>
      <w:r w:rsidRPr="002B5B0B">
        <w:rPr>
          <w:rFonts w:ascii="Times New Roman" w:hAnsi="Times New Roman"/>
          <w:b/>
          <w:sz w:val="28"/>
          <w:szCs w:val="28"/>
        </w:rPr>
        <w:t>ARGUMENT</w:t>
      </w:r>
      <w:r w:rsidR="008F34FF">
        <w:rPr>
          <w:rFonts w:ascii="Times New Roman" w:hAnsi="Times New Roman"/>
          <w:b/>
          <w:sz w:val="28"/>
          <w:szCs w:val="28"/>
        </w:rPr>
        <w:t xml:space="preserve"> AND CITATION OF AUTHORITY</w:t>
      </w:r>
    </w:p>
    <w:p w:rsidR="006730FB" w:rsidRPr="00C43C34" w:rsidRDefault="006730FB" w:rsidP="006730FB">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Plaintiff opposes Defendants claim that Plaintiff lacks standing without a tender of arrearages based on the following:</w:t>
      </w:r>
    </w:p>
    <w:p w:rsidR="00A05397" w:rsidRPr="00E84FB6" w:rsidRDefault="006730FB" w:rsidP="00E84FB6">
      <w:pPr>
        <w:pStyle w:val="ListParagraph"/>
        <w:numPr>
          <w:ilvl w:val="0"/>
          <w:numId w:val="13"/>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E84FB6">
        <w:rPr>
          <w:rFonts w:ascii="Times New Roman" w:hAnsi="Times New Roman"/>
          <w:sz w:val="28"/>
          <w:szCs w:val="28"/>
        </w:rPr>
        <w:t>The Plaintiff did</w:t>
      </w:r>
      <w:r w:rsidR="00C55B27">
        <w:rPr>
          <w:rFonts w:ascii="Times New Roman" w:hAnsi="Times New Roman"/>
          <w:sz w:val="28"/>
          <w:szCs w:val="28"/>
        </w:rPr>
        <w:t xml:space="preserve"> </w:t>
      </w:r>
      <w:r w:rsidRPr="00E84FB6">
        <w:rPr>
          <w:rFonts w:ascii="Times New Roman" w:hAnsi="Times New Roman"/>
          <w:sz w:val="28"/>
          <w:szCs w:val="28"/>
        </w:rPr>
        <w:t>n</w:t>
      </w:r>
      <w:r w:rsidR="00C55B27">
        <w:rPr>
          <w:rFonts w:ascii="Times New Roman" w:hAnsi="Times New Roman"/>
          <w:sz w:val="28"/>
          <w:szCs w:val="28"/>
        </w:rPr>
        <w:t>o</w:t>
      </w:r>
      <w:r w:rsidRPr="00E84FB6">
        <w:rPr>
          <w:rFonts w:ascii="Times New Roman" w:hAnsi="Times New Roman"/>
          <w:sz w:val="28"/>
          <w:szCs w:val="28"/>
        </w:rPr>
        <w:t>t execute a security deed</w:t>
      </w:r>
      <w:r w:rsidR="00A05397" w:rsidRPr="00E84FB6">
        <w:rPr>
          <w:rFonts w:ascii="Times New Roman" w:hAnsi="Times New Roman"/>
          <w:sz w:val="28"/>
          <w:szCs w:val="28"/>
        </w:rPr>
        <w:t xml:space="preserve"> with any of the Defendants </w:t>
      </w:r>
    </w:p>
    <w:p w:rsidR="00CC51F7" w:rsidRDefault="00A05397" w:rsidP="00E84FB6">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360"/>
        <w:rPr>
          <w:rFonts w:ascii="Times New Roman" w:hAnsi="Times New Roman"/>
          <w:sz w:val="28"/>
          <w:szCs w:val="28"/>
        </w:rPr>
      </w:pPr>
      <w:proofErr w:type="gramStart"/>
      <w:r>
        <w:rPr>
          <w:rFonts w:ascii="Times New Roman" w:hAnsi="Times New Roman"/>
          <w:sz w:val="28"/>
          <w:szCs w:val="28"/>
        </w:rPr>
        <w:t>and</w:t>
      </w:r>
      <w:proofErr w:type="gramEnd"/>
      <w:r w:rsidR="00C55B27">
        <w:rPr>
          <w:rFonts w:ascii="Times New Roman" w:hAnsi="Times New Roman"/>
          <w:sz w:val="28"/>
          <w:szCs w:val="28"/>
        </w:rPr>
        <w:t xml:space="preserve"> </w:t>
      </w:r>
      <w:r w:rsidR="00CC51F7">
        <w:rPr>
          <w:rFonts w:ascii="Times New Roman" w:hAnsi="Times New Roman"/>
          <w:sz w:val="28"/>
          <w:szCs w:val="28"/>
        </w:rPr>
        <w:t xml:space="preserve">to quote Ms. Madzimoyo “We do not owe any of the Defendants.  I have return receipts to show the Defendants received our requests for verification, but they ignored them in most cases repeatedly…” </w:t>
      </w:r>
      <w:r w:rsidR="006730FB" w:rsidRPr="00A05397">
        <w:rPr>
          <w:rFonts w:ascii="Times New Roman" w:hAnsi="Times New Roman"/>
          <w:sz w:val="28"/>
          <w:szCs w:val="28"/>
        </w:rPr>
        <w:t xml:space="preserve"> On the contrary, Plaintiff believes that any money paid to the Defendants was obtained fraudulently, and that said Defendants should be ordered to place all such monies with the court pending the outcome of this litigation.</w:t>
      </w:r>
    </w:p>
    <w:p w:rsidR="00CC51F7" w:rsidRDefault="00CC51F7" w:rsidP="00E84FB6">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360"/>
        <w:rPr>
          <w:rFonts w:ascii="Times New Roman" w:hAnsi="Times New Roman"/>
          <w:sz w:val="28"/>
          <w:szCs w:val="28"/>
        </w:rPr>
      </w:pPr>
      <w:r>
        <w:rPr>
          <w:rFonts w:ascii="Times New Roman" w:hAnsi="Times New Roman"/>
          <w:sz w:val="28"/>
          <w:szCs w:val="28"/>
        </w:rPr>
        <w:t>Mr. Madzimoyo adds his voice again to the opposition:</w:t>
      </w:r>
    </w:p>
    <w:p w:rsidR="00CC51F7" w:rsidRDefault="00CC51F7" w:rsidP="00CC51F7">
      <w:pPr>
        <w:spacing w:line="480" w:lineRule="auto"/>
        <w:ind w:left="720"/>
        <w:rPr>
          <w:rFonts w:ascii="Times New Roman" w:hAnsi="Times New Roman"/>
          <w:sz w:val="28"/>
          <w:szCs w:val="28"/>
        </w:rPr>
      </w:pPr>
      <w:r>
        <w:rPr>
          <w:rFonts w:ascii="Times New Roman" w:hAnsi="Times New Roman"/>
          <w:sz w:val="28"/>
          <w:szCs w:val="28"/>
        </w:rPr>
        <w:t>“</w:t>
      </w:r>
      <w:r w:rsidRPr="00C36EC8">
        <w:rPr>
          <w:rFonts w:ascii="Times New Roman" w:hAnsi="Times New Roman"/>
          <w:sz w:val="28"/>
          <w:szCs w:val="28"/>
        </w:rPr>
        <w:t xml:space="preserve">The Defendants’ position of this is clear, and they sites Georgia case law: </w:t>
      </w:r>
      <w:r w:rsidRPr="00C36EC8">
        <w:rPr>
          <w:rFonts w:ascii="Times New Roman" w:hAnsi="Times New Roman"/>
          <w:sz w:val="28"/>
          <w:szCs w:val="28"/>
        </w:rPr>
        <w:br/>
        <w:t>“Under Georgia law [a] borrower who has executed a deed to secure a debt is not entitled to enjoin a foreclosure sale unless he first pays or tenders to the lender the amount admit</w:t>
      </w:r>
      <w:r w:rsidRPr="00CC51F7">
        <w:t xml:space="preserve"> </w:t>
      </w:r>
      <w:r w:rsidRPr="00CC51F7">
        <w:rPr>
          <w:rFonts w:ascii="Times New Roman" w:hAnsi="Times New Roman"/>
          <w:sz w:val="28"/>
          <w:szCs w:val="28"/>
        </w:rPr>
        <w:t xml:space="preserve">The key phrase is “admittedly due.”  </w:t>
      </w:r>
      <w:r>
        <w:rPr>
          <w:rFonts w:ascii="Times New Roman" w:hAnsi="Times New Roman"/>
          <w:sz w:val="28"/>
          <w:szCs w:val="28"/>
        </w:rPr>
        <w:t>We have</w:t>
      </w:r>
      <w:r w:rsidRPr="00CC51F7">
        <w:rPr>
          <w:rFonts w:ascii="Times New Roman" w:hAnsi="Times New Roman"/>
          <w:sz w:val="28"/>
          <w:szCs w:val="28"/>
        </w:rPr>
        <w:t xml:space="preserve"> never admitted to owing the Defendants anything.</w:t>
      </w:r>
      <w:r>
        <w:rPr>
          <w:rFonts w:ascii="Times New Roman" w:hAnsi="Times New Roman"/>
          <w:sz w:val="28"/>
          <w:szCs w:val="28"/>
        </w:rPr>
        <w:t xml:space="preserve">” </w:t>
      </w:r>
      <w:r w:rsidRPr="00CC51F7">
        <w:rPr>
          <w:rFonts w:ascii="Times New Roman" w:hAnsi="Times New Roman"/>
          <w:sz w:val="28"/>
          <w:szCs w:val="28"/>
        </w:rPr>
        <w:t xml:space="preserve">  </w:t>
      </w:r>
      <w:r>
        <w:rPr>
          <w:rFonts w:ascii="Times New Roman" w:hAnsi="Times New Roman"/>
          <w:sz w:val="28"/>
          <w:szCs w:val="28"/>
        </w:rPr>
        <w:br/>
      </w:r>
    </w:p>
    <w:p w:rsidR="00CC51F7" w:rsidRDefault="00CC51F7" w:rsidP="00CC51F7">
      <w:pPr>
        <w:spacing w:line="480" w:lineRule="auto"/>
        <w:ind w:left="720"/>
        <w:rPr>
          <w:rFonts w:ascii="Times New Roman" w:hAnsi="Times New Roman"/>
          <w:sz w:val="28"/>
          <w:szCs w:val="28"/>
        </w:rPr>
      </w:pPr>
      <w:r w:rsidRPr="00CC51F7">
        <w:rPr>
          <w:rFonts w:ascii="Times New Roman" w:hAnsi="Times New Roman"/>
          <w:sz w:val="28"/>
          <w:szCs w:val="28"/>
        </w:rPr>
        <w:lastRenderedPageBreak/>
        <w:t xml:space="preserve">In fact, </w:t>
      </w:r>
      <w:r>
        <w:rPr>
          <w:rFonts w:ascii="Times New Roman" w:hAnsi="Times New Roman"/>
          <w:sz w:val="28"/>
          <w:szCs w:val="28"/>
        </w:rPr>
        <w:t xml:space="preserve">The Plaintiff contends that </w:t>
      </w:r>
      <w:r w:rsidRPr="00CC51F7">
        <w:rPr>
          <w:rFonts w:ascii="Times New Roman" w:hAnsi="Times New Roman"/>
          <w:sz w:val="28"/>
          <w:szCs w:val="28"/>
        </w:rPr>
        <w:t xml:space="preserve">he doesn’t owe anything on the note, period.  </w:t>
      </w:r>
    </w:p>
    <w:p w:rsidR="00A05397" w:rsidRDefault="006730FB" w:rsidP="00E84FB6">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360"/>
        <w:rPr>
          <w:rFonts w:ascii="Times New Roman" w:hAnsi="Times New Roman"/>
          <w:sz w:val="28"/>
          <w:szCs w:val="28"/>
        </w:rPr>
      </w:pPr>
      <w:r w:rsidRPr="00C43C34">
        <w:rPr>
          <w:rFonts w:ascii="Times New Roman" w:hAnsi="Times New Roman"/>
          <w:sz w:val="28"/>
          <w:szCs w:val="28"/>
        </w:rPr>
        <w:t>Even if it were to be proven at some future time that the Plaintiff did owe the Defendants, at the time the Plaintiff exercised his right to require the debt collectors</w:t>
      </w:r>
      <w:r w:rsidR="00C55B27">
        <w:rPr>
          <w:rFonts w:ascii="Times New Roman" w:hAnsi="Times New Roman"/>
          <w:sz w:val="28"/>
          <w:szCs w:val="28"/>
        </w:rPr>
        <w:t xml:space="preserve">, </w:t>
      </w:r>
      <w:r w:rsidRPr="00C43C34">
        <w:rPr>
          <w:rFonts w:ascii="Times New Roman" w:hAnsi="Times New Roman"/>
          <w:sz w:val="28"/>
          <w:szCs w:val="28"/>
        </w:rPr>
        <w:t>the Defendants</w:t>
      </w:r>
      <w:r w:rsidR="00C55B27">
        <w:rPr>
          <w:rFonts w:ascii="Times New Roman" w:hAnsi="Times New Roman"/>
          <w:sz w:val="28"/>
          <w:szCs w:val="28"/>
        </w:rPr>
        <w:t>,</w:t>
      </w:r>
      <w:r w:rsidRPr="00C43C34">
        <w:rPr>
          <w:rFonts w:ascii="Times New Roman" w:hAnsi="Times New Roman"/>
          <w:sz w:val="28"/>
          <w:szCs w:val="28"/>
        </w:rPr>
        <w:t xml:space="preserve"> to validate the debt amount and true and secured creditor, the Plaintiff was not behind on his mortgage payments at all. According to FDCPA section §809 (b) “If the consumer notifies the debt collector in writing within the thirty-day period described in subsection (a) that the debt, or any portion thereof, is disputed, or that the consumer requests the name and addresses of the original creditor, the debt collector </w:t>
      </w:r>
      <w:r w:rsidRPr="00C43C34">
        <w:rPr>
          <w:rFonts w:ascii="Times New Roman" w:hAnsi="Times New Roman"/>
          <w:b/>
          <w:sz w:val="28"/>
          <w:szCs w:val="28"/>
        </w:rPr>
        <w:t>shall cease collection of the debt,</w:t>
      </w:r>
      <w:r w:rsidRPr="00C43C34">
        <w:rPr>
          <w:rFonts w:ascii="Times New Roman" w:hAnsi="Times New Roman"/>
          <w:sz w:val="28"/>
          <w:szCs w:val="28"/>
        </w:rPr>
        <w:t xml:space="preserve"> </w:t>
      </w:r>
      <w:r w:rsidRPr="00C43C34">
        <w:rPr>
          <w:rFonts w:ascii="Times New Roman" w:hAnsi="Times New Roman"/>
          <w:b/>
          <w:sz w:val="28"/>
          <w:szCs w:val="28"/>
        </w:rPr>
        <w:t>or any disputed portion thereof</w:t>
      </w:r>
      <w:r w:rsidRPr="00C43C34">
        <w:rPr>
          <w:rFonts w:ascii="Times New Roman" w:hAnsi="Times New Roman"/>
          <w:sz w:val="28"/>
          <w:szCs w:val="28"/>
        </w:rPr>
        <w:t>, until the debt collector obtains verification of the debt or a copy of a judgment, or the name and address of the original creditor, and a copy of such verification or judgment, or name and address of the original creditor, is mailed to the consumer by the debt collector.”</w:t>
      </w:r>
      <w:r w:rsidR="00A05397">
        <w:rPr>
          <w:rFonts w:ascii="Times New Roman" w:hAnsi="Times New Roman"/>
          <w:sz w:val="28"/>
          <w:szCs w:val="28"/>
        </w:rPr>
        <w:t xml:space="preserve"> </w:t>
      </w:r>
    </w:p>
    <w:p w:rsidR="006730FB" w:rsidRPr="00C43C34" w:rsidRDefault="00A05397" w:rsidP="00A05397">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ab/>
      </w:r>
      <w:r w:rsidR="006730FB" w:rsidRPr="00C43C34">
        <w:rPr>
          <w:rFonts w:ascii="Times New Roman" w:hAnsi="Times New Roman"/>
          <w:sz w:val="28"/>
          <w:szCs w:val="28"/>
        </w:rPr>
        <w:t>Since the Defendants have refused to provide the requisite information to legally validate the debt amount and secured creditor, the collection of the debt, or any disputed portion thereof ceased. The Plaintiff is not in arrears, and the move to foreclosure by the debt collector Defendants is unlawful. Just which one of the Defendants are-were debt collect</w:t>
      </w:r>
      <w:r w:rsidR="006730FB">
        <w:rPr>
          <w:rFonts w:ascii="Times New Roman" w:hAnsi="Times New Roman"/>
          <w:sz w:val="28"/>
          <w:szCs w:val="28"/>
        </w:rPr>
        <w:t>or</w:t>
      </w:r>
      <w:r w:rsidR="006730FB" w:rsidRPr="00C43C34">
        <w:rPr>
          <w:rFonts w:ascii="Times New Roman" w:hAnsi="Times New Roman"/>
          <w:sz w:val="28"/>
          <w:szCs w:val="28"/>
        </w:rPr>
        <w:t xml:space="preserve">s is difficult to determine precisely because the </w:t>
      </w:r>
      <w:r w:rsidR="006730FB" w:rsidRPr="00C43C34">
        <w:rPr>
          <w:rFonts w:ascii="Times New Roman" w:hAnsi="Times New Roman"/>
          <w:sz w:val="28"/>
          <w:szCs w:val="28"/>
        </w:rPr>
        <w:lastRenderedPageBreak/>
        <w:t xml:space="preserve">Defendants have refused to provide the clear chain of title as order by </w:t>
      </w:r>
      <w:proofErr w:type="spellStart"/>
      <w:r w:rsidR="006730FB" w:rsidRPr="00C43C34">
        <w:rPr>
          <w:rFonts w:ascii="Times New Roman" w:hAnsi="Times New Roman"/>
          <w:sz w:val="28"/>
          <w:szCs w:val="28"/>
        </w:rPr>
        <w:t>Dekalb</w:t>
      </w:r>
      <w:proofErr w:type="spellEnd"/>
      <w:r w:rsidR="006730FB" w:rsidRPr="00C43C34">
        <w:rPr>
          <w:rFonts w:ascii="Times New Roman" w:hAnsi="Times New Roman"/>
          <w:sz w:val="28"/>
          <w:szCs w:val="28"/>
        </w:rPr>
        <w:t xml:space="preserve"> County Superior Court Judge Tangela Barry along with the governing agreements that would help determine their legal roles (servicer, lender, trustee, creditor, secured creditor, holder in due course, etc.)</w:t>
      </w:r>
      <w:r w:rsidR="00C55B27">
        <w:rPr>
          <w:rFonts w:ascii="Times New Roman" w:hAnsi="Times New Roman"/>
          <w:sz w:val="28"/>
          <w:szCs w:val="28"/>
        </w:rPr>
        <w:t xml:space="preserve"> (See Petition Summons, Page 2.)</w:t>
      </w:r>
    </w:p>
    <w:p w:rsidR="00C55B27" w:rsidRPr="00C55B27" w:rsidRDefault="00E84FB6" w:rsidP="00E84FB6">
      <w:pPr>
        <w:pStyle w:val="ListParagraph"/>
        <w:numPr>
          <w:ilvl w:val="0"/>
          <w:numId w:val="13"/>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t>The Defendant</w:t>
      </w:r>
      <w:r>
        <w:rPr>
          <w:rFonts w:ascii="Times New Roman" w:hAnsi="Times New Roman"/>
          <w:sz w:val="28"/>
          <w:szCs w:val="28"/>
        </w:rPr>
        <w:t>s</w:t>
      </w:r>
      <w:r w:rsidRPr="00C43C34">
        <w:rPr>
          <w:rFonts w:ascii="Times New Roman" w:hAnsi="Times New Roman"/>
          <w:sz w:val="28"/>
          <w:szCs w:val="28"/>
        </w:rPr>
        <w:t xml:space="preserve"> consistently and erroneously attempt</w:t>
      </w:r>
      <w:r w:rsidR="00C55B27">
        <w:rPr>
          <w:rFonts w:ascii="Times New Roman" w:hAnsi="Times New Roman"/>
          <w:sz w:val="28"/>
          <w:szCs w:val="28"/>
        </w:rPr>
        <w:t xml:space="preserve"> to restate the</w:t>
      </w:r>
    </w:p>
    <w:p w:rsidR="00E84FB6" w:rsidRPr="00C43C34" w:rsidRDefault="00E84FB6" w:rsidP="00C55B2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t xml:space="preserve">Plaintiff’s claims to read that Defendants’ failure to “Produce </w:t>
      </w:r>
      <w:proofErr w:type="gramStart"/>
      <w:r w:rsidRPr="00C43C34">
        <w:rPr>
          <w:rFonts w:ascii="Times New Roman" w:hAnsi="Times New Roman"/>
          <w:sz w:val="28"/>
          <w:szCs w:val="28"/>
        </w:rPr>
        <w:t>The</w:t>
      </w:r>
      <w:proofErr w:type="gramEnd"/>
      <w:r w:rsidRPr="00C43C34">
        <w:rPr>
          <w:rFonts w:ascii="Times New Roman" w:hAnsi="Times New Roman"/>
          <w:sz w:val="28"/>
          <w:szCs w:val="28"/>
        </w:rPr>
        <w:t xml:space="preserve"> Note” gives rise to the petition for injunctive relief. </w:t>
      </w:r>
      <w:r>
        <w:rPr>
          <w:rFonts w:ascii="Times New Roman" w:hAnsi="Times New Roman"/>
          <w:sz w:val="28"/>
          <w:szCs w:val="28"/>
        </w:rPr>
        <w:t xml:space="preserve"> </w:t>
      </w:r>
      <w:r w:rsidRPr="00C43C34">
        <w:rPr>
          <w:rFonts w:ascii="Times New Roman" w:hAnsi="Times New Roman"/>
          <w:sz w:val="28"/>
          <w:szCs w:val="28"/>
        </w:rPr>
        <w:t>The Defendant</w:t>
      </w:r>
      <w:r>
        <w:rPr>
          <w:rFonts w:ascii="Times New Roman" w:hAnsi="Times New Roman"/>
          <w:sz w:val="28"/>
          <w:szCs w:val="28"/>
        </w:rPr>
        <w:t>s</w:t>
      </w:r>
      <w:r w:rsidRPr="00C43C34">
        <w:rPr>
          <w:rFonts w:ascii="Times New Roman" w:hAnsi="Times New Roman"/>
          <w:sz w:val="28"/>
          <w:szCs w:val="28"/>
        </w:rPr>
        <w:t xml:space="preserve"> ignore the other requirements to establish legal standing and the initial questions asked by the Plaintiff in his attempt to determine who the true secure </w:t>
      </w:r>
      <w:r w:rsidR="00C55B27">
        <w:rPr>
          <w:rFonts w:ascii="Times New Roman" w:hAnsi="Times New Roman"/>
          <w:sz w:val="28"/>
          <w:szCs w:val="28"/>
        </w:rPr>
        <w:t>c</w:t>
      </w:r>
      <w:r w:rsidRPr="00C43C34">
        <w:rPr>
          <w:rFonts w:ascii="Times New Roman" w:hAnsi="Times New Roman"/>
          <w:sz w:val="28"/>
          <w:szCs w:val="28"/>
        </w:rPr>
        <w:t xml:space="preserve">reditor/holder in due course is. </w:t>
      </w:r>
      <w:r w:rsidRPr="00C43C34">
        <w:rPr>
          <w:rFonts w:ascii="Times New Roman" w:hAnsi="Times New Roman"/>
          <w:sz w:val="28"/>
          <w:szCs w:val="28"/>
        </w:rPr>
        <w:br/>
        <w:t xml:space="preserve">After having set up a straw man, the Defendants attack swiftly asserting “that Plaintiff cannot produce a Georgia law requiring “either a lender or its </w:t>
      </w:r>
      <w:proofErr w:type="gramStart"/>
      <w:r w:rsidRPr="00C43C34">
        <w:rPr>
          <w:rFonts w:ascii="Times New Roman" w:hAnsi="Times New Roman"/>
          <w:sz w:val="28"/>
          <w:szCs w:val="28"/>
        </w:rPr>
        <w:t xml:space="preserve">attorney </w:t>
      </w:r>
      <w:r w:rsidR="00C55B27">
        <w:rPr>
          <w:rFonts w:ascii="Times New Roman" w:hAnsi="Times New Roman"/>
          <w:sz w:val="28"/>
          <w:szCs w:val="28"/>
        </w:rPr>
        <w:t xml:space="preserve">  </w:t>
      </w:r>
      <w:r w:rsidRPr="00C43C34">
        <w:rPr>
          <w:rFonts w:ascii="Times New Roman" w:hAnsi="Times New Roman"/>
          <w:sz w:val="28"/>
          <w:szCs w:val="28"/>
        </w:rPr>
        <w:t>conducting</w:t>
      </w:r>
      <w:proofErr w:type="gramEnd"/>
      <w:r w:rsidRPr="00C43C34">
        <w:rPr>
          <w:rFonts w:ascii="Times New Roman" w:hAnsi="Times New Roman"/>
          <w:sz w:val="28"/>
          <w:szCs w:val="28"/>
        </w:rPr>
        <w:t xml:space="preserve"> the foreclosure sale” to “Produce The Note.”  </w:t>
      </w:r>
      <w:r w:rsidRPr="00C43C34">
        <w:rPr>
          <w:rFonts w:ascii="Times New Roman" w:hAnsi="Times New Roman"/>
          <w:sz w:val="28"/>
          <w:szCs w:val="28"/>
        </w:rPr>
        <w:br/>
      </w:r>
    </w:p>
    <w:p w:rsidR="006D3841" w:rsidRPr="008D05F1" w:rsidRDefault="00E84FB6" w:rsidP="006D3841">
      <w:pPr>
        <w:pStyle w:val="ListParagraph"/>
        <w:numPr>
          <w:ilvl w:val="0"/>
          <w:numId w:val="13"/>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8D05F1">
        <w:rPr>
          <w:rFonts w:ascii="Times New Roman" w:hAnsi="Times New Roman"/>
          <w:sz w:val="28"/>
          <w:szCs w:val="28"/>
        </w:rPr>
        <w:t xml:space="preserve">Plaintiff holds that OCGA § 44-14-162.2  states that </w:t>
      </w:r>
      <w:r w:rsidRPr="008D05F1">
        <w:rPr>
          <w:rFonts w:ascii="Times New Roman" w:hAnsi="Times New Roman"/>
          <w:sz w:val="28"/>
          <w:szCs w:val="28"/>
        </w:rPr>
        <w:br/>
      </w:r>
      <w:r w:rsidRPr="008D05F1">
        <w:rPr>
          <w:rFonts w:ascii="Times New Roman" w:hAnsi="Times New Roman"/>
          <w:sz w:val="28"/>
          <w:szCs w:val="28"/>
        </w:rPr>
        <w:br/>
        <w:t xml:space="preserve">“(a) Notice of the initiation of proceedings to exercise a power of sale in a mortgage, security deed, or other lien contract shall be given to the debtor by the </w:t>
      </w:r>
      <w:r w:rsidRPr="008D05F1">
        <w:rPr>
          <w:rFonts w:ascii="Times New Roman" w:hAnsi="Times New Roman"/>
          <w:b/>
          <w:sz w:val="28"/>
          <w:szCs w:val="28"/>
        </w:rPr>
        <w:t>secured creditor</w:t>
      </w:r>
      <w:r w:rsidRPr="008D05F1">
        <w:rPr>
          <w:rFonts w:ascii="Times New Roman" w:hAnsi="Times New Roman"/>
          <w:sz w:val="28"/>
          <w:szCs w:val="28"/>
        </w:rPr>
        <w:t xml:space="preserve"> no later than 30 days before the date of the proposed foreclosure.” </w:t>
      </w:r>
      <w:r w:rsidRPr="008D05F1">
        <w:rPr>
          <w:rFonts w:ascii="Times New Roman" w:hAnsi="Times New Roman"/>
          <w:sz w:val="28"/>
          <w:szCs w:val="28"/>
        </w:rPr>
        <w:br/>
      </w:r>
      <w:r w:rsidRPr="008D05F1">
        <w:rPr>
          <w:rFonts w:ascii="Times New Roman" w:hAnsi="Times New Roman"/>
          <w:sz w:val="28"/>
          <w:szCs w:val="28"/>
        </w:rPr>
        <w:lastRenderedPageBreak/>
        <w:br/>
        <w:t>Given that no sale or assignment of Plaintiff’s property in question had been recorded in the DeKalb County Court House since 1999, and since not one of the Defendants where named on the assignment, and since not one of the Defendants have provided documentation or governing master agreements to establish the legal chain of title or other evidence showing them as “creditor,” “secured creditor,” lender or holder in due course, etc, Plaintiff claims that Defendants are attempting to foreclose illegally and seeks protection from the Court.</w:t>
      </w:r>
      <w:r w:rsidRPr="008D05F1">
        <w:rPr>
          <w:rFonts w:ascii="Times New Roman" w:hAnsi="Times New Roman"/>
          <w:sz w:val="28"/>
          <w:szCs w:val="28"/>
        </w:rPr>
        <w:br/>
      </w:r>
      <w:r w:rsidR="006D3841" w:rsidRPr="008D05F1">
        <w:rPr>
          <w:rStyle w:val="apple-style-span"/>
          <w:rFonts w:ascii="Times New Roman" w:hAnsi="Times New Roman"/>
          <w:color w:val="000000"/>
          <w:sz w:val="28"/>
          <w:szCs w:val="28"/>
        </w:rPr>
        <w:t xml:space="preserve">In U.S. Bank National Association v. Ibanez, Massachusetts Land Court </w:t>
      </w:r>
      <w:proofErr w:type="spellStart"/>
      <w:r w:rsidR="006D3841" w:rsidRPr="008D05F1">
        <w:rPr>
          <w:rStyle w:val="apple-style-span"/>
          <w:rFonts w:ascii="Times New Roman" w:hAnsi="Times New Roman"/>
          <w:color w:val="000000"/>
          <w:sz w:val="28"/>
          <w:szCs w:val="28"/>
        </w:rPr>
        <w:t>Msc</w:t>
      </w:r>
      <w:proofErr w:type="spellEnd"/>
      <w:r w:rsidR="006D3841" w:rsidRPr="008D05F1">
        <w:rPr>
          <w:rStyle w:val="apple-style-span"/>
          <w:rFonts w:ascii="Times New Roman" w:hAnsi="Times New Roman"/>
          <w:color w:val="000000"/>
          <w:sz w:val="28"/>
          <w:szCs w:val="28"/>
        </w:rPr>
        <w:t>. Case No. 384283 held that the foreclosure in</w:t>
      </w:r>
      <w:r w:rsidR="006D3841" w:rsidRPr="008D05F1">
        <w:rPr>
          <w:rStyle w:val="apple-converted-space"/>
          <w:rFonts w:ascii="Times New Roman" w:hAnsi="Times New Roman"/>
          <w:color w:val="000000"/>
          <w:sz w:val="28"/>
          <w:szCs w:val="28"/>
        </w:rPr>
        <w:t> </w:t>
      </w:r>
      <w:r w:rsidR="006D3841" w:rsidRPr="008D05F1">
        <w:rPr>
          <w:rStyle w:val="Emphasis"/>
          <w:rFonts w:ascii="Times New Roman" w:hAnsi="Times New Roman"/>
          <w:color w:val="000000"/>
          <w:sz w:val="28"/>
          <w:szCs w:val="28"/>
        </w:rPr>
        <w:t>Ibanez</w:t>
      </w:r>
      <w:r w:rsidR="006D3841" w:rsidRPr="008D05F1">
        <w:rPr>
          <w:rStyle w:val="apple-converted-space"/>
          <w:rFonts w:ascii="Times New Roman" w:hAnsi="Times New Roman"/>
          <w:color w:val="000000"/>
          <w:sz w:val="28"/>
          <w:szCs w:val="28"/>
        </w:rPr>
        <w:t> </w:t>
      </w:r>
      <w:r w:rsidR="006D3841" w:rsidRPr="008D05F1">
        <w:rPr>
          <w:rStyle w:val="apple-style-span"/>
          <w:rFonts w:ascii="Times New Roman" w:hAnsi="Times New Roman"/>
          <w:color w:val="000000"/>
          <w:sz w:val="28"/>
          <w:szCs w:val="28"/>
        </w:rPr>
        <w:t>was invalid because the Assignment was both dated and recorded after the sale and the notices, therefore, "failed to name the mortgage holder as required by G.L. c. 244, §14.</w:t>
      </w:r>
    </w:p>
    <w:p w:rsidR="00B741D8" w:rsidRDefault="00286D4C" w:rsidP="00286D4C">
      <w:pPr>
        <w:pStyle w:val="ListParagraph"/>
        <w:numPr>
          <w:ilvl w:val="0"/>
          <w:numId w:val="13"/>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286D4C">
        <w:rPr>
          <w:rFonts w:ascii="Times New Roman" w:hAnsi="Times New Roman"/>
          <w:sz w:val="28"/>
          <w:szCs w:val="28"/>
        </w:rPr>
        <w:t xml:space="preserve">Defendants claim that Creditors who collect on their own accounts under their own names are not “debt collectors” for purposes of the Fair Debt Collection Practices Act (FDCPA).  The FDC PA (§ 803. Definitions- 4) defines  “creditor” to  mean any person who offers or extends credit creating a debt or to whom a debt is owed, but such term does not include any person </w:t>
      </w:r>
      <w:r w:rsidRPr="00286D4C">
        <w:rPr>
          <w:rFonts w:ascii="Times New Roman" w:hAnsi="Times New Roman"/>
          <w:sz w:val="28"/>
          <w:szCs w:val="28"/>
        </w:rPr>
        <w:lastRenderedPageBreak/>
        <w:t>to the extent that he receives an assignment or transfer of a debt in default solely for the purpose of facilitating collection of such debt for another.</w:t>
      </w:r>
    </w:p>
    <w:p w:rsidR="00286D4C" w:rsidRDefault="003650D9" w:rsidP="00286D4C">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It is clear to </w:t>
      </w:r>
      <w:r w:rsidR="00C55B27">
        <w:rPr>
          <w:rFonts w:ascii="Times New Roman" w:hAnsi="Times New Roman"/>
          <w:sz w:val="28"/>
          <w:szCs w:val="28"/>
        </w:rPr>
        <w:t>the Plaintiff</w:t>
      </w:r>
      <w:r>
        <w:rPr>
          <w:rFonts w:ascii="Times New Roman" w:hAnsi="Times New Roman"/>
          <w:sz w:val="28"/>
          <w:szCs w:val="28"/>
        </w:rPr>
        <w:t xml:space="preserve"> that HOMECOMINGS FINANCIAL LLC and GMAC collected monies and intended to collect monies from the Plaintiff.  It is not clear as to</w:t>
      </w:r>
      <w:r w:rsidR="00C55B27">
        <w:rPr>
          <w:rFonts w:ascii="Times New Roman" w:hAnsi="Times New Roman"/>
          <w:sz w:val="28"/>
          <w:szCs w:val="28"/>
        </w:rPr>
        <w:t xml:space="preserve"> on </w:t>
      </w:r>
      <w:proofErr w:type="gramStart"/>
      <w:r>
        <w:rPr>
          <w:rFonts w:ascii="Times New Roman" w:hAnsi="Times New Roman"/>
          <w:sz w:val="28"/>
          <w:szCs w:val="28"/>
        </w:rPr>
        <w:t>whose  behalf</w:t>
      </w:r>
      <w:proofErr w:type="gramEnd"/>
      <w:r>
        <w:rPr>
          <w:rFonts w:ascii="Times New Roman" w:hAnsi="Times New Roman"/>
          <w:sz w:val="28"/>
          <w:szCs w:val="28"/>
        </w:rPr>
        <w:t xml:space="preserve">  they were collecting.  </w:t>
      </w:r>
    </w:p>
    <w:p w:rsidR="003650D9" w:rsidRDefault="003650D9" w:rsidP="003650D9">
      <w:pPr>
        <w:rPr>
          <w:rFonts w:ascii="Times New Roman" w:hAnsi="Times New Roman"/>
          <w:sz w:val="28"/>
          <w:szCs w:val="28"/>
        </w:rPr>
      </w:pPr>
      <w:r>
        <w:rPr>
          <w:rFonts w:ascii="Times New Roman" w:hAnsi="Times New Roman"/>
          <w:sz w:val="28"/>
          <w:szCs w:val="28"/>
        </w:rPr>
        <w:t>Typically creditors</w:t>
      </w:r>
      <w:r w:rsidRPr="004B6C4D">
        <w:rPr>
          <w:rFonts w:ascii="Times New Roman" w:hAnsi="Times New Roman"/>
          <w:sz w:val="28"/>
          <w:szCs w:val="28"/>
        </w:rPr>
        <w:t xml:space="preserve"> argue</w:t>
      </w:r>
      <w:r w:rsidR="005B0DC3">
        <w:rPr>
          <w:rFonts w:ascii="Times New Roman" w:hAnsi="Times New Roman"/>
          <w:sz w:val="28"/>
          <w:szCs w:val="28"/>
        </w:rPr>
        <w:t>d</w:t>
      </w:r>
      <w:r w:rsidRPr="004B6C4D">
        <w:rPr>
          <w:rFonts w:ascii="Times New Roman" w:hAnsi="Times New Roman"/>
          <w:sz w:val="28"/>
          <w:szCs w:val="28"/>
        </w:rPr>
        <w:t xml:space="preserve"> that they were shielded from liability by the FDCPA's "bona fide error defense," which provides that debt collectors are not liable for FDCPA violations that were "not intentional and resulted from a bona fide error notwithstanding the maintenance of procedures reasonably adapted to avoid any such error." 15 U.S.C. § 1692k(c)</w:t>
      </w:r>
      <w:r w:rsidRPr="00336FE1">
        <w:rPr>
          <w:rFonts w:ascii="Times New Roman" w:hAnsi="Times New Roman"/>
          <w:sz w:val="28"/>
          <w:szCs w:val="28"/>
        </w:rPr>
        <w:t xml:space="preserve"> </w:t>
      </w:r>
    </w:p>
    <w:p w:rsidR="003650D9" w:rsidRPr="004B6C4D" w:rsidRDefault="003650D9" w:rsidP="003650D9">
      <w:pPr>
        <w:rPr>
          <w:rFonts w:ascii="Times New Roman" w:hAnsi="Times New Roman"/>
          <w:sz w:val="28"/>
          <w:szCs w:val="28"/>
        </w:rPr>
      </w:pPr>
      <w:r>
        <w:rPr>
          <w:rFonts w:ascii="Times New Roman" w:hAnsi="Times New Roman"/>
          <w:sz w:val="28"/>
          <w:szCs w:val="28"/>
        </w:rPr>
        <w:t xml:space="preserve">However, the </w:t>
      </w:r>
      <w:r w:rsidRPr="006405C6">
        <w:rPr>
          <w:rFonts w:ascii="Times New Roman" w:hAnsi="Times New Roman"/>
          <w:b/>
          <w:sz w:val="28"/>
          <w:szCs w:val="28"/>
        </w:rPr>
        <w:t xml:space="preserve">US Supreme Court on April 21, 2010 ruled 7-2 in </w:t>
      </w:r>
      <w:proofErr w:type="spellStart"/>
      <w:r w:rsidRPr="006405C6">
        <w:rPr>
          <w:rFonts w:ascii="Times New Roman" w:hAnsi="Times New Roman"/>
          <w:b/>
          <w:sz w:val="28"/>
          <w:szCs w:val="28"/>
        </w:rPr>
        <w:t>Jerman</w:t>
      </w:r>
      <w:proofErr w:type="spellEnd"/>
      <w:r w:rsidRPr="006405C6">
        <w:rPr>
          <w:rFonts w:ascii="Times New Roman" w:hAnsi="Times New Roman"/>
          <w:b/>
          <w:sz w:val="28"/>
          <w:szCs w:val="28"/>
        </w:rPr>
        <w:t xml:space="preserve"> v. Carlisle, </w:t>
      </w:r>
      <w:proofErr w:type="spellStart"/>
      <w:r w:rsidRPr="006405C6">
        <w:rPr>
          <w:rFonts w:ascii="Times New Roman" w:hAnsi="Times New Roman"/>
          <w:b/>
          <w:sz w:val="28"/>
          <w:szCs w:val="28"/>
        </w:rPr>
        <w:t>McNeelie</w:t>
      </w:r>
      <w:proofErr w:type="spellEnd"/>
      <w:r w:rsidRPr="006405C6">
        <w:rPr>
          <w:rFonts w:ascii="Times New Roman" w:hAnsi="Times New Roman"/>
          <w:b/>
          <w:sz w:val="28"/>
          <w:szCs w:val="28"/>
        </w:rPr>
        <w:t xml:space="preserve">, RINI, </w:t>
      </w:r>
      <w:proofErr w:type="spellStart"/>
      <w:r w:rsidRPr="006405C6">
        <w:rPr>
          <w:rFonts w:ascii="Times New Roman" w:hAnsi="Times New Roman"/>
          <w:b/>
          <w:sz w:val="28"/>
          <w:szCs w:val="28"/>
        </w:rPr>
        <w:t>Dramer</w:t>
      </w:r>
      <w:proofErr w:type="spellEnd"/>
      <w:r w:rsidRPr="006405C6">
        <w:rPr>
          <w:rFonts w:ascii="Times New Roman" w:hAnsi="Times New Roman"/>
          <w:b/>
          <w:sz w:val="28"/>
          <w:szCs w:val="28"/>
        </w:rPr>
        <w:t xml:space="preserve"> &amp; Ulrich LPA (No. 08-1200)</w:t>
      </w:r>
      <w:r w:rsidRPr="004B6C4D">
        <w:rPr>
          <w:rFonts w:ascii="Times New Roman" w:hAnsi="Times New Roman"/>
          <w:sz w:val="28"/>
          <w:szCs w:val="28"/>
        </w:rPr>
        <w:t xml:space="preserve"> </w:t>
      </w:r>
      <w:r>
        <w:rPr>
          <w:rFonts w:ascii="Times New Roman" w:hAnsi="Times New Roman"/>
          <w:sz w:val="28"/>
          <w:szCs w:val="28"/>
        </w:rPr>
        <w:t>otherwise to</w:t>
      </w:r>
      <w:r w:rsidRPr="004B6C4D">
        <w:rPr>
          <w:rFonts w:ascii="Times New Roman" w:hAnsi="Times New Roman"/>
          <w:sz w:val="28"/>
          <w:szCs w:val="28"/>
        </w:rPr>
        <w:t xml:space="preserve"> making sure that debt collectors are treated like everyone else when violating a federal </w:t>
      </w:r>
      <w:r w:rsidR="005B0DC3" w:rsidRPr="004B6C4D">
        <w:rPr>
          <w:rFonts w:ascii="Times New Roman" w:hAnsi="Times New Roman"/>
          <w:sz w:val="28"/>
          <w:szCs w:val="28"/>
        </w:rPr>
        <w:t>statute</w:t>
      </w:r>
      <w:r w:rsidRPr="004B6C4D">
        <w:rPr>
          <w:rFonts w:ascii="Times New Roman" w:hAnsi="Times New Roman"/>
          <w:sz w:val="28"/>
          <w:szCs w:val="28"/>
        </w:rPr>
        <w:t xml:space="preserve"> and that unlawful behavior will not be excused, and will be punished to the fullest extent of the law. Specifically, the Supreme Court held that the </w:t>
      </w:r>
    </w:p>
    <w:p w:rsidR="003650D9" w:rsidRPr="004B6C4D" w:rsidRDefault="003650D9" w:rsidP="003650D9">
      <w:pPr>
        <w:ind w:left="1440"/>
        <w:rPr>
          <w:rFonts w:ascii="Times New Roman" w:hAnsi="Times New Roman"/>
          <w:sz w:val="28"/>
          <w:szCs w:val="28"/>
        </w:rPr>
      </w:pPr>
      <w:proofErr w:type="spellStart"/>
      <w:r w:rsidRPr="004B6C4D">
        <w:rPr>
          <w:rFonts w:ascii="Times New Roman" w:hAnsi="Times New Roman"/>
          <w:sz w:val="28"/>
          <w:szCs w:val="28"/>
        </w:rPr>
        <w:t>i</w:t>
      </w:r>
      <w:proofErr w:type="spellEnd"/>
      <w:r w:rsidRPr="004B6C4D">
        <w:rPr>
          <w:rFonts w:ascii="Times New Roman" w:hAnsi="Times New Roman"/>
          <w:sz w:val="28"/>
          <w:szCs w:val="28"/>
        </w:rPr>
        <w:t>.</w:t>
      </w:r>
      <w:r w:rsidRPr="004B6C4D">
        <w:rPr>
          <w:rFonts w:ascii="Times New Roman" w:hAnsi="Times New Roman"/>
          <w:sz w:val="28"/>
          <w:szCs w:val="28"/>
        </w:rPr>
        <w:tab/>
        <w:t>“bona fide error defense in §1692k(c) does not apply to a violation of the FDCPA resulting from a debt collector’s incorrect interpretation of the requirements of that statute.”</w:t>
      </w:r>
    </w:p>
    <w:p w:rsidR="003650D9" w:rsidRPr="004B6C4D" w:rsidRDefault="003650D9" w:rsidP="003650D9">
      <w:pPr>
        <w:rPr>
          <w:rFonts w:ascii="Times New Roman" w:hAnsi="Times New Roman"/>
          <w:sz w:val="28"/>
          <w:szCs w:val="28"/>
        </w:rPr>
      </w:pPr>
    </w:p>
    <w:p w:rsidR="003650D9" w:rsidRDefault="003650D9" w:rsidP="003650D9">
      <w:pPr>
        <w:ind w:left="1440"/>
        <w:rPr>
          <w:rFonts w:ascii="Times New Roman" w:hAnsi="Times New Roman"/>
          <w:sz w:val="28"/>
          <w:szCs w:val="28"/>
        </w:rPr>
      </w:pPr>
      <w:r w:rsidRPr="004B6C4D">
        <w:rPr>
          <w:rFonts w:ascii="Times New Roman" w:hAnsi="Times New Roman"/>
          <w:sz w:val="28"/>
          <w:szCs w:val="28"/>
        </w:rPr>
        <w:t>ii.</w:t>
      </w:r>
      <w:r w:rsidRPr="004B6C4D">
        <w:rPr>
          <w:rFonts w:ascii="Times New Roman" w:hAnsi="Times New Roman"/>
          <w:sz w:val="28"/>
          <w:szCs w:val="28"/>
        </w:rPr>
        <w:tab/>
        <w:t xml:space="preserve">Given the absence of similar language in §1692k(c), it is fair to infer that Congress permitted injured consumers to recover damages for “intentional” conduct, including violations resulting from a mistaken interpretation of the FDCPA, while reserving the more onerous administrative penalties for debt collectors whose intentional actions reflected knowledge that the conduct was prohibited. Congress also did not confine FDCPA liability to “willful” violations, a term more often understood in the civil context to exclude mistakes of law. </w:t>
      </w:r>
      <w:proofErr w:type="gramStart"/>
      <w:r w:rsidRPr="004B6C4D">
        <w:rPr>
          <w:rFonts w:ascii="Times New Roman" w:hAnsi="Times New Roman"/>
          <w:sz w:val="28"/>
          <w:szCs w:val="28"/>
        </w:rPr>
        <w:lastRenderedPageBreak/>
        <w:t>See, e.g., Trans World Airlines, Inc. v. Thurston, 469 U. S. 111, 125–126.</w:t>
      </w:r>
      <w:proofErr w:type="gramEnd"/>
      <w:r w:rsidRPr="004B6C4D">
        <w:rPr>
          <w:rFonts w:ascii="Times New Roman" w:hAnsi="Times New Roman"/>
          <w:sz w:val="28"/>
          <w:szCs w:val="28"/>
        </w:rPr>
        <w:t xml:space="preserve"> Section 1692k(c)’s requirement that a debt collector maintain “procedures reasonably adapted to avoid any such error” also more naturally evokes procedures to avoid mistakes like clerical or factual errors. Pp. 6–12.</w:t>
      </w:r>
    </w:p>
    <w:p w:rsidR="003650D9" w:rsidRDefault="003650D9" w:rsidP="003650D9">
      <w:pPr>
        <w:rPr>
          <w:rFonts w:ascii="Times New Roman" w:hAnsi="Times New Roman"/>
          <w:sz w:val="28"/>
          <w:szCs w:val="28"/>
        </w:rPr>
      </w:pPr>
      <w:r>
        <w:rPr>
          <w:rFonts w:ascii="Times New Roman" w:hAnsi="Times New Roman"/>
          <w:sz w:val="28"/>
          <w:szCs w:val="28"/>
        </w:rPr>
        <w:t xml:space="preserve">One of the basic tenets of FDCPA is that creditors must validate the debt and their standing to collect it. Defendants steadfastly refused to do this and in doing so violated FDCPA section </w:t>
      </w:r>
      <w:r w:rsidRPr="006405C6">
        <w:rPr>
          <w:rFonts w:ascii="Times New Roman" w:hAnsi="Times New Roman"/>
          <w:sz w:val="28"/>
          <w:szCs w:val="28"/>
        </w:rPr>
        <w:t>§ 1692 g</w:t>
      </w:r>
      <w:r>
        <w:rPr>
          <w:rFonts w:ascii="Times New Roman" w:hAnsi="Times New Roman"/>
          <w:sz w:val="28"/>
          <w:szCs w:val="28"/>
        </w:rPr>
        <w:t xml:space="preserve">. </w:t>
      </w:r>
    </w:p>
    <w:p w:rsidR="005B0DC3" w:rsidRDefault="003650D9" w:rsidP="003650D9">
      <w:pPr>
        <w:rPr>
          <w:rFonts w:ascii="Times New Roman" w:hAnsi="Times New Roman"/>
          <w:sz w:val="28"/>
          <w:szCs w:val="28"/>
        </w:rPr>
      </w:pPr>
      <w:r>
        <w:rPr>
          <w:rFonts w:ascii="Times New Roman" w:hAnsi="Times New Roman"/>
          <w:sz w:val="28"/>
          <w:szCs w:val="28"/>
        </w:rPr>
        <w:t xml:space="preserve"> For months prior to the attempted illegal foreclosure, Plaintiff sent letters to Defendants (including an Affidavit for them to Cease and Desist) asking for validation of both the alleged debt and their standing to collect by providing documents governing the myriad of agreements that would clarify their standing. </w:t>
      </w:r>
    </w:p>
    <w:p w:rsidR="003650D9" w:rsidRPr="00A436EF" w:rsidRDefault="003650D9" w:rsidP="003650D9">
      <w:pPr>
        <w:rPr>
          <w:rFonts w:ascii="Times New Roman" w:hAnsi="Times New Roman"/>
          <w:sz w:val="28"/>
          <w:szCs w:val="28"/>
        </w:rPr>
      </w:pPr>
      <w:r>
        <w:rPr>
          <w:rFonts w:ascii="Times New Roman" w:hAnsi="Times New Roman"/>
          <w:sz w:val="28"/>
          <w:szCs w:val="28"/>
        </w:rPr>
        <w:t>They refused to provide the requisite documents.</w:t>
      </w:r>
      <w:r w:rsidR="005B0DC3">
        <w:rPr>
          <w:rFonts w:ascii="Times New Roman" w:hAnsi="Times New Roman"/>
          <w:sz w:val="28"/>
          <w:szCs w:val="28"/>
        </w:rPr>
        <w:t xml:space="preserve"> (See Petition Attachments A, B, C.) </w:t>
      </w:r>
      <w:r>
        <w:rPr>
          <w:rFonts w:ascii="Times New Roman" w:hAnsi="Times New Roman"/>
          <w:sz w:val="28"/>
          <w:szCs w:val="28"/>
        </w:rPr>
        <w:t xml:space="preserve"> Most just ignored the request, but o</w:t>
      </w:r>
      <w:r w:rsidRPr="00A436EF">
        <w:rPr>
          <w:rFonts w:ascii="Times New Roman" w:hAnsi="Times New Roman"/>
          <w:sz w:val="28"/>
          <w:szCs w:val="28"/>
        </w:rPr>
        <w:t xml:space="preserve">ne response on Homecomings </w:t>
      </w:r>
      <w:proofErr w:type="spellStart"/>
      <w:r w:rsidRPr="00A436EF">
        <w:rPr>
          <w:rFonts w:ascii="Times New Roman" w:hAnsi="Times New Roman"/>
          <w:sz w:val="28"/>
          <w:szCs w:val="28"/>
        </w:rPr>
        <w:t>Financial’</w:t>
      </w:r>
      <w:r>
        <w:rPr>
          <w:rFonts w:ascii="Times New Roman" w:hAnsi="Times New Roman"/>
          <w:sz w:val="28"/>
          <w:szCs w:val="28"/>
        </w:rPr>
        <w:t>s</w:t>
      </w:r>
      <w:proofErr w:type="spellEnd"/>
      <w:r w:rsidRPr="00A436EF">
        <w:rPr>
          <w:rFonts w:ascii="Times New Roman" w:hAnsi="Times New Roman"/>
          <w:sz w:val="28"/>
          <w:szCs w:val="28"/>
        </w:rPr>
        <w:t xml:space="preserve"> letter-head stated: </w:t>
      </w:r>
    </w:p>
    <w:p w:rsidR="003650D9" w:rsidRPr="00A436EF" w:rsidRDefault="003650D9" w:rsidP="003650D9">
      <w:pPr>
        <w:ind w:left="1440" w:right="1260"/>
        <w:rPr>
          <w:rFonts w:ascii="Times New Roman" w:hAnsi="Times New Roman"/>
          <w:sz w:val="28"/>
          <w:szCs w:val="28"/>
        </w:rPr>
      </w:pPr>
      <w:r w:rsidRPr="00A436EF">
        <w:rPr>
          <w:rFonts w:ascii="Times New Roman" w:hAnsi="Times New Roman"/>
          <w:sz w:val="28"/>
          <w:szCs w:val="28"/>
        </w:rPr>
        <w:t>“</w:t>
      </w:r>
      <w:r w:rsidR="005B0DC3" w:rsidRPr="00A436EF">
        <w:rPr>
          <w:rFonts w:ascii="Times New Roman" w:hAnsi="Times New Roman"/>
          <w:sz w:val="28"/>
          <w:szCs w:val="28"/>
        </w:rPr>
        <w:t>The</w:t>
      </w:r>
      <w:r w:rsidRPr="00A436EF">
        <w:rPr>
          <w:rFonts w:ascii="Times New Roman" w:hAnsi="Times New Roman"/>
          <w:sz w:val="28"/>
          <w:szCs w:val="28"/>
        </w:rPr>
        <w:t xml:space="preserve"> information requested is subject to business and trade practices which are proprietary and confidential and will not be provided.” </w:t>
      </w:r>
    </w:p>
    <w:p w:rsidR="003650D9" w:rsidRPr="00A436EF" w:rsidRDefault="003650D9" w:rsidP="003650D9">
      <w:pPr>
        <w:rPr>
          <w:rFonts w:ascii="Times New Roman" w:hAnsi="Times New Roman"/>
          <w:b/>
          <w:sz w:val="28"/>
          <w:szCs w:val="28"/>
        </w:rPr>
      </w:pPr>
      <w:r w:rsidRPr="00A436EF">
        <w:rPr>
          <w:rFonts w:ascii="Times New Roman" w:hAnsi="Times New Roman"/>
          <w:sz w:val="28"/>
          <w:szCs w:val="28"/>
        </w:rPr>
        <w:t xml:space="preserve">While the letter was printed on company letter-head, the letter was unsigned. </w:t>
      </w:r>
      <w:r w:rsidRPr="00A436EF">
        <w:rPr>
          <w:rFonts w:ascii="Times New Roman" w:hAnsi="Times New Roman"/>
          <w:b/>
          <w:sz w:val="28"/>
          <w:szCs w:val="28"/>
        </w:rPr>
        <w:t>(See</w:t>
      </w:r>
      <w:r>
        <w:rPr>
          <w:rFonts w:ascii="Times New Roman" w:hAnsi="Times New Roman"/>
          <w:b/>
          <w:sz w:val="28"/>
          <w:szCs w:val="28"/>
        </w:rPr>
        <w:t xml:space="preserve"> Petition - </w:t>
      </w:r>
      <w:r w:rsidRPr="00A436EF">
        <w:rPr>
          <w:rFonts w:ascii="Times New Roman" w:hAnsi="Times New Roman"/>
          <w:b/>
          <w:sz w:val="28"/>
          <w:szCs w:val="28"/>
        </w:rPr>
        <w:t xml:space="preserve">Attachment E Copies of Defendants Letters June 22, 2009)  </w:t>
      </w:r>
    </w:p>
    <w:p w:rsidR="003650D9" w:rsidRDefault="003650D9" w:rsidP="003650D9">
      <w:pPr>
        <w:rPr>
          <w:rFonts w:ascii="Times New Roman" w:hAnsi="Times New Roman"/>
          <w:sz w:val="28"/>
          <w:szCs w:val="28"/>
        </w:rPr>
      </w:pPr>
    </w:p>
    <w:p w:rsidR="00524404" w:rsidRPr="00C43C34" w:rsidRDefault="00524404" w:rsidP="006A59DE">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C80397" w:rsidRPr="00C43C34" w:rsidRDefault="00C80397"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2520"/>
        <w:rPr>
          <w:rFonts w:ascii="Times New Roman" w:hAnsi="Times New Roman"/>
          <w:sz w:val="28"/>
          <w:szCs w:val="28"/>
        </w:rPr>
      </w:pPr>
    </w:p>
    <w:p w:rsidR="00C80397" w:rsidRPr="00C43C34" w:rsidRDefault="00C80397"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0"/>
        <w:jc w:val="center"/>
        <w:rPr>
          <w:rFonts w:ascii="Times New Roman" w:hAnsi="Times New Roman"/>
          <w:b/>
          <w:sz w:val="28"/>
          <w:szCs w:val="28"/>
          <w:u w:val="single"/>
        </w:rPr>
      </w:pPr>
      <w:r w:rsidRPr="00C43C34">
        <w:rPr>
          <w:rFonts w:ascii="Times New Roman" w:hAnsi="Times New Roman"/>
          <w:b/>
          <w:sz w:val="28"/>
          <w:szCs w:val="28"/>
          <w:u w:val="single"/>
        </w:rPr>
        <w:t>CONCLUSION</w:t>
      </w:r>
    </w:p>
    <w:p w:rsidR="00C80397" w:rsidRPr="00C43C34" w:rsidRDefault="00C80397"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2520"/>
        <w:jc w:val="center"/>
        <w:rPr>
          <w:rFonts w:ascii="Times New Roman" w:hAnsi="Times New Roman"/>
          <w:b/>
          <w:sz w:val="28"/>
          <w:szCs w:val="28"/>
          <w:u w:val="single"/>
        </w:rPr>
      </w:pP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roofErr w:type="gramStart"/>
      <w:r w:rsidRPr="00C43C34">
        <w:rPr>
          <w:rFonts w:ascii="Times New Roman" w:hAnsi="Times New Roman"/>
          <w:sz w:val="28"/>
          <w:szCs w:val="28"/>
        </w:rPr>
        <w:t>Defendants</w:t>
      </w:r>
      <w:proofErr w:type="gramEnd"/>
      <w:r w:rsidRPr="00C43C34">
        <w:rPr>
          <w:rFonts w:ascii="Times New Roman" w:hAnsi="Times New Roman"/>
          <w:sz w:val="28"/>
          <w:szCs w:val="28"/>
        </w:rPr>
        <w:t xml:space="preserve"> statement o</w:t>
      </w:r>
      <w:r w:rsidR="00CC51F7">
        <w:rPr>
          <w:rFonts w:ascii="Times New Roman" w:hAnsi="Times New Roman"/>
          <w:sz w:val="28"/>
          <w:szCs w:val="28"/>
        </w:rPr>
        <w:t xml:space="preserve">f the facts to support a </w:t>
      </w:r>
      <w:r w:rsidR="005B0DC3">
        <w:rPr>
          <w:rFonts w:ascii="Times New Roman" w:hAnsi="Times New Roman"/>
          <w:sz w:val="28"/>
          <w:szCs w:val="28"/>
        </w:rPr>
        <w:t>J</w:t>
      </w:r>
      <w:r w:rsidRPr="00C43C34">
        <w:rPr>
          <w:rFonts w:ascii="Times New Roman" w:hAnsi="Times New Roman"/>
          <w:sz w:val="28"/>
          <w:szCs w:val="28"/>
        </w:rPr>
        <w:t xml:space="preserve">udgment </w:t>
      </w:r>
      <w:r w:rsidR="005B0DC3">
        <w:rPr>
          <w:rFonts w:ascii="Times New Roman" w:hAnsi="Times New Roman"/>
          <w:sz w:val="28"/>
          <w:szCs w:val="28"/>
        </w:rPr>
        <w:t>on the Pleadings</w:t>
      </w:r>
      <w:r w:rsidR="00CC51F7">
        <w:rPr>
          <w:rFonts w:ascii="Times New Roman" w:hAnsi="Times New Roman"/>
          <w:sz w:val="28"/>
          <w:szCs w:val="28"/>
        </w:rPr>
        <w:t xml:space="preserve"> in favor of the Plaintiff</w:t>
      </w:r>
      <w:r w:rsidR="005B0DC3">
        <w:rPr>
          <w:rFonts w:ascii="Times New Roman" w:hAnsi="Times New Roman"/>
          <w:sz w:val="28"/>
          <w:szCs w:val="28"/>
        </w:rPr>
        <w:t xml:space="preserve"> </w:t>
      </w:r>
      <w:r w:rsidRPr="00C43C34">
        <w:rPr>
          <w:rFonts w:ascii="Times New Roman" w:hAnsi="Times New Roman"/>
          <w:sz w:val="28"/>
          <w:szCs w:val="28"/>
        </w:rPr>
        <w:t>is flawed. The Plaintiff claims based on the July 29</w:t>
      </w:r>
      <w:r w:rsidRPr="00C43C34">
        <w:rPr>
          <w:rFonts w:ascii="Times New Roman" w:hAnsi="Times New Roman"/>
          <w:sz w:val="28"/>
          <w:szCs w:val="28"/>
          <w:vertAlign w:val="superscript"/>
        </w:rPr>
        <w:t>th</w:t>
      </w:r>
      <w:r w:rsidRPr="00C43C34">
        <w:rPr>
          <w:rFonts w:ascii="Times New Roman" w:hAnsi="Times New Roman"/>
          <w:sz w:val="28"/>
          <w:szCs w:val="28"/>
        </w:rPr>
        <w:t xml:space="preserve"> </w:t>
      </w:r>
      <w:r w:rsidRPr="00C43C34">
        <w:rPr>
          <w:rFonts w:ascii="Times New Roman" w:hAnsi="Times New Roman"/>
          <w:sz w:val="28"/>
          <w:szCs w:val="28"/>
        </w:rPr>
        <w:lastRenderedPageBreak/>
        <w:t>2009 filing is not based on a “produce the note” requirement prohibiting foreclosure, instead it</w:t>
      </w:r>
      <w:r w:rsidR="005B0DC3">
        <w:rPr>
          <w:rFonts w:ascii="Times New Roman" w:hAnsi="Times New Roman"/>
          <w:sz w:val="28"/>
          <w:szCs w:val="28"/>
        </w:rPr>
        <w:t xml:space="preserve"> is</w:t>
      </w:r>
      <w:r w:rsidRPr="00C43C34">
        <w:rPr>
          <w:rFonts w:ascii="Times New Roman" w:hAnsi="Times New Roman"/>
          <w:sz w:val="28"/>
          <w:szCs w:val="28"/>
        </w:rPr>
        <w:t xml:space="preserve"> based on the Defendants’ violation of Ge</w:t>
      </w:r>
      <w:r w:rsidR="005B0DC3">
        <w:rPr>
          <w:rFonts w:ascii="Times New Roman" w:hAnsi="Times New Roman"/>
          <w:sz w:val="28"/>
          <w:szCs w:val="28"/>
        </w:rPr>
        <w:t xml:space="preserve">orgia State and Federal law, and he continues to seek relief.  </w:t>
      </w:r>
      <w:r w:rsidRPr="00C43C34">
        <w:rPr>
          <w:rFonts w:ascii="Times New Roman" w:hAnsi="Times New Roman"/>
          <w:sz w:val="28"/>
          <w:szCs w:val="28"/>
        </w:rPr>
        <w:t>Further, Plaintiff does</w:t>
      </w:r>
      <w:r w:rsidR="005B0DC3">
        <w:rPr>
          <w:rFonts w:ascii="Times New Roman" w:hAnsi="Times New Roman"/>
          <w:sz w:val="28"/>
          <w:szCs w:val="28"/>
        </w:rPr>
        <w:t xml:space="preserve"> </w:t>
      </w:r>
      <w:r w:rsidRPr="00C43C34">
        <w:rPr>
          <w:rFonts w:ascii="Times New Roman" w:hAnsi="Times New Roman"/>
          <w:sz w:val="28"/>
          <w:szCs w:val="28"/>
        </w:rPr>
        <w:t>n</w:t>
      </w:r>
      <w:r w:rsidR="005B0DC3">
        <w:rPr>
          <w:rFonts w:ascii="Times New Roman" w:hAnsi="Times New Roman"/>
          <w:sz w:val="28"/>
          <w:szCs w:val="28"/>
        </w:rPr>
        <w:t>o</w:t>
      </w:r>
      <w:r w:rsidRPr="00C43C34">
        <w:rPr>
          <w:rFonts w:ascii="Times New Roman" w:hAnsi="Times New Roman"/>
          <w:sz w:val="28"/>
          <w:szCs w:val="28"/>
        </w:rPr>
        <w:t xml:space="preserve">t owe Defendants any money on my mortgage, so his challenge to </w:t>
      </w:r>
      <w:r w:rsidR="005B0DC3" w:rsidRPr="00C43C34">
        <w:rPr>
          <w:rFonts w:ascii="Times New Roman" w:hAnsi="Times New Roman"/>
          <w:sz w:val="28"/>
          <w:szCs w:val="28"/>
        </w:rPr>
        <w:t>Plaintiff‘s</w:t>
      </w:r>
      <w:r w:rsidR="005B0DC3">
        <w:rPr>
          <w:rFonts w:ascii="Times New Roman" w:hAnsi="Times New Roman"/>
          <w:sz w:val="28"/>
          <w:szCs w:val="28"/>
        </w:rPr>
        <w:t xml:space="preserve"> </w:t>
      </w:r>
      <w:r w:rsidRPr="00C43C34">
        <w:rPr>
          <w:rFonts w:ascii="Times New Roman" w:hAnsi="Times New Roman"/>
          <w:sz w:val="28"/>
          <w:szCs w:val="28"/>
        </w:rPr>
        <w:t>standing fails.</w:t>
      </w: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 xml:space="preserve">WHEREFORE, Plaintiff prays that the Court deny Defendant </w:t>
      </w:r>
      <w:r w:rsidR="005B0DC3">
        <w:rPr>
          <w:rFonts w:ascii="Times New Roman" w:hAnsi="Times New Roman"/>
          <w:sz w:val="28"/>
          <w:szCs w:val="28"/>
        </w:rPr>
        <w:t xml:space="preserve">GMAC MORTGAGE LLC et al, </w:t>
      </w:r>
      <w:proofErr w:type="gramStart"/>
      <w:r w:rsidR="005B0DC3">
        <w:rPr>
          <w:rFonts w:ascii="Times New Roman" w:hAnsi="Times New Roman"/>
          <w:sz w:val="28"/>
          <w:szCs w:val="28"/>
        </w:rPr>
        <w:t xml:space="preserve">Defendant’s </w:t>
      </w:r>
      <w:r w:rsidRPr="00C43C34">
        <w:rPr>
          <w:rFonts w:ascii="Times New Roman" w:hAnsi="Times New Roman"/>
          <w:sz w:val="28"/>
          <w:szCs w:val="28"/>
        </w:rPr>
        <w:t xml:space="preserve"> </w:t>
      </w:r>
      <w:r w:rsidR="00797215">
        <w:rPr>
          <w:rFonts w:ascii="Times New Roman" w:hAnsi="Times New Roman"/>
          <w:sz w:val="28"/>
          <w:szCs w:val="28"/>
        </w:rPr>
        <w:t>M</w:t>
      </w:r>
      <w:r w:rsidRPr="00C43C34">
        <w:rPr>
          <w:rFonts w:ascii="Times New Roman" w:hAnsi="Times New Roman"/>
          <w:sz w:val="28"/>
          <w:szCs w:val="28"/>
        </w:rPr>
        <w:t>otion</w:t>
      </w:r>
      <w:proofErr w:type="gramEnd"/>
      <w:r w:rsidRPr="00C43C34">
        <w:rPr>
          <w:rFonts w:ascii="Times New Roman" w:hAnsi="Times New Roman"/>
          <w:sz w:val="28"/>
          <w:szCs w:val="28"/>
        </w:rPr>
        <w:t xml:space="preserve"> for Judgment on the Pleadings.</w:t>
      </w:r>
      <w:r w:rsidR="005B0DC3">
        <w:rPr>
          <w:rFonts w:ascii="Times New Roman" w:hAnsi="Times New Roman"/>
          <w:sz w:val="28"/>
          <w:szCs w:val="28"/>
        </w:rPr>
        <w:t xml:space="preserve">  Plaintiff’s answer to </w:t>
      </w:r>
      <w:r w:rsidR="00797215">
        <w:rPr>
          <w:rFonts w:ascii="Times New Roman" w:hAnsi="Times New Roman"/>
          <w:sz w:val="28"/>
          <w:szCs w:val="28"/>
        </w:rPr>
        <w:t>DEMARLO Motion for Judgment has been answered separately.</w:t>
      </w: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Submitted this __________ day of ________, 2010</w:t>
      </w: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right"/>
        <w:rPr>
          <w:rFonts w:ascii="Times New Roman" w:hAnsi="Times New Roman"/>
          <w:sz w:val="28"/>
          <w:szCs w:val="28"/>
        </w:rPr>
      </w:pP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right"/>
        <w:rPr>
          <w:rFonts w:ascii="Times New Roman" w:hAnsi="Times New Roman"/>
          <w:sz w:val="28"/>
          <w:szCs w:val="28"/>
        </w:rPr>
      </w:pPr>
      <w:r w:rsidRPr="00C43C34">
        <w:rPr>
          <w:rFonts w:ascii="Times New Roman" w:hAnsi="Times New Roman"/>
          <w:sz w:val="28"/>
          <w:szCs w:val="28"/>
        </w:rPr>
        <w:t>Wekesa O. Madzimoyo</w:t>
      </w:r>
    </w:p>
    <w:p w:rsidR="002D0354" w:rsidRPr="00C43C34" w:rsidRDefault="002D0354" w:rsidP="00C8039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8"/>
          <w:szCs w:val="28"/>
        </w:rPr>
      </w:pPr>
    </w:p>
    <w:p w:rsidR="00364244" w:rsidRPr="00C43C34" w:rsidRDefault="002D0354" w:rsidP="00C8039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8"/>
          <w:szCs w:val="28"/>
        </w:rPr>
      </w:pPr>
      <w:r w:rsidRPr="00C43C34">
        <w:rPr>
          <w:rFonts w:ascii="Times New Roman" w:hAnsi="Times New Roman"/>
          <w:sz w:val="28"/>
          <w:szCs w:val="28"/>
        </w:rPr>
        <w:t xml:space="preserve"> </w:t>
      </w:r>
      <w:r w:rsidR="008155A2" w:rsidRPr="00C43C34">
        <w:rPr>
          <w:rFonts w:ascii="Times New Roman" w:hAnsi="Times New Roman"/>
          <w:sz w:val="28"/>
          <w:szCs w:val="28"/>
        </w:rPr>
        <w:br/>
      </w:r>
    </w:p>
    <w:p w:rsidR="007B4C18" w:rsidRPr="00C43C34" w:rsidRDefault="007B4C18"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8"/>
          <w:szCs w:val="28"/>
        </w:rPr>
      </w:pPr>
    </w:p>
    <w:p w:rsidR="00F76625" w:rsidRPr="00C43C34" w:rsidRDefault="00F76625"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8"/>
          <w:szCs w:val="28"/>
        </w:rPr>
      </w:pPr>
    </w:p>
    <w:p w:rsidR="00F76625" w:rsidRPr="00C43C34" w:rsidRDefault="00F76625"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8"/>
          <w:szCs w:val="28"/>
        </w:rPr>
      </w:pPr>
      <w:r w:rsidRPr="00C43C34">
        <w:rPr>
          <w:rFonts w:ascii="Times New Roman" w:hAnsi="Times New Roman"/>
          <w:sz w:val="28"/>
          <w:szCs w:val="28"/>
        </w:rPr>
        <w:tab/>
      </w:r>
    </w:p>
    <w:p w:rsidR="00C101F8" w:rsidRPr="00C43C34" w:rsidRDefault="00C101F8">
      <w:pPr>
        <w:rPr>
          <w:sz w:val="28"/>
          <w:szCs w:val="28"/>
        </w:rPr>
      </w:pPr>
    </w:p>
    <w:p w:rsidR="00C101F8" w:rsidRPr="00C43C34" w:rsidRDefault="00C101F8">
      <w:pPr>
        <w:rPr>
          <w:sz w:val="28"/>
          <w:szCs w:val="28"/>
        </w:rPr>
      </w:pPr>
    </w:p>
    <w:sectPr w:rsidR="00C101F8" w:rsidRPr="00C43C34"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2D8E"/>
    <w:multiLevelType w:val="hybridMultilevel"/>
    <w:tmpl w:val="170C9D8A"/>
    <w:lvl w:ilvl="0" w:tplc="587CF96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96D315B"/>
    <w:multiLevelType w:val="hybridMultilevel"/>
    <w:tmpl w:val="B03ED5F8"/>
    <w:lvl w:ilvl="0" w:tplc="3E3CFB6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D226696"/>
    <w:multiLevelType w:val="hybridMultilevel"/>
    <w:tmpl w:val="A416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30CF4"/>
    <w:multiLevelType w:val="hybridMultilevel"/>
    <w:tmpl w:val="74CC0FBC"/>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9DF17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42B0DE8"/>
    <w:multiLevelType w:val="hybridMultilevel"/>
    <w:tmpl w:val="7F961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0737E"/>
    <w:multiLevelType w:val="hybridMultilevel"/>
    <w:tmpl w:val="C09E2112"/>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95355D7"/>
    <w:multiLevelType w:val="hybridMultilevel"/>
    <w:tmpl w:val="64A2020A"/>
    <w:lvl w:ilvl="0" w:tplc="587CF964">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65A7103A"/>
    <w:multiLevelType w:val="multilevel"/>
    <w:tmpl w:val="3084BE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F486DC8"/>
    <w:multiLevelType w:val="hybridMultilevel"/>
    <w:tmpl w:val="0094753C"/>
    <w:lvl w:ilvl="0" w:tplc="587CF964">
      <w:start w:val="1"/>
      <w:numFmt w:val="decimal"/>
      <w:lvlText w:val="%1."/>
      <w:lvlJc w:val="left"/>
      <w:pPr>
        <w:ind w:left="12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4BF0983"/>
    <w:multiLevelType w:val="multilevel"/>
    <w:tmpl w:val="3084BE3C"/>
    <w:lvl w:ilvl="0">
      <w:start w:val="1"/>
      <w:numFmt w:val="lowerLetter"/>
      <w:lvlText w:val="%1)"/>
      <w:lvlJc w:val="left"/>
      <w:pPr>
        <w:ind w:left="-720" w:hanging="360"/>
      </w:pPr>
    </w:lvl>
    <w:lvl w:ilvl="1">
      <w:start w:val="1"/>
      <w:numFmt w:val="lowerLetter"/>
      <w:lvlText w:val="%2)"/>
      <w:lvlJc w:val="left"/>
      <w:pPr>
        <w:ind w:left="-360" w:hanging="360"/>
      </w:pPr>
    </w:lvl>
    <w:lvl w:ilvl="2">
      <w:start w:val="1"/>
      <w:numFmt w:val="lowerRoman"/>
      <w:lvlText w:val="%3)"/>
      <w:lvlJc w:val="left"/>
      <w:pPr>
        <w:ind w:left="0" w:hanging="360"/>
      </w:pPr>
    </w:lvl>
    <w:lvl w:ilvl="3">
      <w:start w:val="1"/>
      <w:numFmt w:val="decimal"/>
      <w:lvlText w:val="(%4)"/>
      <w:lvlJc w:val="left"/>
      <w:pPr>
        <w:ind w:left="360" w:hanging="360"/>
      </w:pPr>
    </w:lvl>
    <w:lvl w:ilvl="4">
      <w:start w:val="1"/>
      <w:numFmt w:val="lowerLetter"/>
      <w:lvlText w:val="(%5)"/>
      <w:lvlJc w:val="left"/>
      <w:pPr>
        <w:ind w:left="720" w:hanging="360"/>
      </w:pPr>
    </w:lvl>
    <w:lvl w:ilvl="5">
      <w:start w:val="1"/>
      <w:numFmt w:val="lowerRoman"/>
      <w:lvlText w:val="(%6)"/>
      <w:lvlJc w:val="left"/>
      <w:pPr>
        <w:ind w:left="1080" w:hanging="360"/>
      </w:pPr>
    </w:lvl>
    <w:lvl w:ilvl="6">
      <w:start w:val="1"/>
      <w:numFmt w:val="decimal"/>
      <w:lvlText w:val="%7."/>
      <w:lvlJc w:val="left"/>
      <w:pPr>
        <w:ind w:left="1440" w:hanging="360"/>
      </w:pPr>
    </w:lvl>
    <w:lvl w:ilvl="7">
      <w:start w:val="1"/>
      <w:numFmt w:val="lowerLetter"/>
      <w:lvlText w:val="%8."/>
      <w:lvlJc w:val="left"/>
      <w:pPr>
        <w:ind w:left="1800" w:hanging="360"/>
      </w:pPr>
    </w:lvl>
    <w:lvl w:ilvl="8">
      <w:start w:val="1"/>
      <w:numFmt w:val="lowerRoman"/>
      <w:lvlText w:val="%9."/>
      <w:lvlJc w:val="left"/>
      <w:pPr>
        <w:ind w:left="2160" w:hanging="360"/>
      </w:pPr>
    </w:lvl>
  </w:abstractNum>
  <w:abstractNum w:abstractNumId="11">
    <w:nsid w:val="7703724E"/>
    <w:multiLevelType w:val="hybridMultilevel"/>
    <w:tmpl w:val="E146E260"/>
    <w:lvl w:ilvl="0" w:tplc="587CF96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7CC02633"/>
    <w:multiLevelType w:val="multilevel"/>
    <w:tmpl w:val="3084BE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A07347"/>
    <w:multiLevelType w:val="hybridMultilevel"/>
    <w:tmpl w:val="2CBA3C7C"/>
    <w:lvl w:ilvl="0" w:tplc="E9FC0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6"/>
  </w:num>
  <w:num w:numId="4">
    <w:abstractNumId w:val="0"/>
  </w:num>
  <w:num w:numId="5">
    <w:abstractNumId w:val="11"/>
  </w:num>
  <w:num w:numId="6">
    <w:abstractNumId w:val="3"/>
  </w:num>
  <w:num w:numId="7">
    <w:abstractNumId w:val="7"/>
  </w:num>
  <w:num w:numId="8">
    <w:abstractNumId w:val="4"/>
  </w:num>
  <w:num w:numId="9">
    <w:abstractNumId w:val="10"/>
  </w:num>
  <w:num w:numId="10">
    <w:abstractNumId w:val="5"/>
  </w:num>
  <w:num w:numId="11">
    <w:abstractNumId w:val="8"/>
  </w:num>
  <w:num w:numId="12">
    <w:abstractNumId w:val="12"/>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01F8"/>
    <w:rsid w:val="00065A86"/>
    <w:rsid w:val="000A0870"/>
    <w:rsid w:val="000D3907"/>
    <w:rsid w:val="000F3166"/>
    <w:rsid w:val="00117A48"/>
    <w:rsid w:val="001976FE"/>
    <w:rsid w:val="001D2732"/>
    <w:rsid w:val="001E6301"/>
    <w:rsid w:val="001F1B14"/>
    <w:rsid w:val="00205E7A"/>
    <w:rsid w:val="00243694"/>
    <w:rsid w:val="00244C17"/>
    <w:rsid w:val="00252113"/>
    <w:rsid w:val="00274415"/>
    <w:rsid w:val="00286D4C"/>
    <w:rsid w:val="002B5B0B"/>
    <w:rsid w:val="002D0354"/>
    <w:rsid w:val="002D459C"/>
    <w:rsid w:val="0035424E"/>
    <w:rsid w:val="00364244"/>
    <w:rsid w:val="003650D9"/>
    <w:rsid w:val="0038693F"/>
    <w:rsid w:val="003A279E"/>
    <w:rsid w:val="003C0905"/>
    <w:rsid w:val="00403CCA"/>
    <w:rsid w:val="0042261D"/>
    <w:rsid w:val="00425057"/>
    <w:rsid w:val="00487156"/>
    <w:rsid w:val="005064E6"/>
    <w:rsid w:val="00524404"/>
    <w:rsid w:val="0054177B"/>
    <w:rsid w:val="005A110A"/>
    <w:rsid w:val="005A7D33"/>
    <w:rsid w:val="005B0DC3"/>
    <w:rsid w:val="005B6287"/>
    <w:rsid w:val="005E71D1"/>
    <w:rsid w:val="00607A3E"/>
    <w:rsid w:val="00607BDE"/>
    <w:rsid w:val="00655451"/>
    <w:rsid w:val="00660F93"/>
    <w:rsid w:val="00661F08"/>
    <w:rsid w:val="006730FB"/>
    <w:rsid w:val="00676A28"/>
    <w:rsid w:val="006A59DE"/>
    <w:rsid w:val="006D3841"/>
    <w:rsid w:val="006D4020"/>
    <w:rsid w:val="00742C26"/>
    <w:rsid w:val="007905BA"/>
    <w:rsid w:val="00797215"/>
    <w:rsid w:val="007B4C18"/>
    <w:rsid w:val="007C42D1"/>
    <w:rsid w:val="008155A2"/>
    <w:rsid w:val="00816250"/>
    <w:rsid w:val="00835243"/>
    <w:rsid w:val="0088206B"/>
    <w:rsid w:val="00890D10"/>
    <w:rsid w:val="008D05F1"/>
    <w:rsid w:val="008E4FDA"/>
    <w:rsid w:val="008F34FF"/>
    <w:rsid w:val="00961BE4"/>
    <w:rsid w:val="00981AEB"/>
    <w:rsid w:val="0099324B"/>
    <w:rsid w:val="009C046F"/>
    <w:rsid w:val="00A04B2A"/>
    <w:rsid w:val="00A05397"/>
    <w:rsid w:val="00A9520A"/>
    <w:rsid w:val="00AC769D"/>
    <w:rsid w:val="00B0224B"/>
    <w:rsid w:val="00B07BF3"/>
    <w:rsid w:val="00B47969"/>
    <w:rsid w:val="00B741D8"/>
    <w:rsid w:val="00BA1C23"/>
    <w:rsid w:val="00BA2998"/>
    <w:rsid w:val="00BA79D7"/>
    <w:rsid w:val="00BD3197"/>
    <w:rsid w:val="00BE4B4B"/>
    <w:rsid w:val="00C01036"/>
    <w:rsid w:val="00C101F8"/>
    <w:rsid w:val="00C31C00"/>
    <w:rsid w:val="00C43C34"/>
    <w:rsid w:val="00C55B27"/>
    <w:rsid w:val="00C736CA"/>
    <w:rsid w:val="00C80397"/>
    <w:rsid w:val="00C82D26"/>
    <w:rsid w:val="00C96888"/>
    <w:rsid w:val="00CC228A"/>
    <w:rsid w:val="00CC51F7"/>
    <w:rsid w:val="00CE0D65"/>
    <w:rsid w:val="00D02354"/>
    <w:rsid w:val="00D63D6C"/>
    <w:rsid w:val="00D833F3"/>
    <w:rsid w:val="00DC2975"/>
    <w:rsid w:val="00E84FB6"/>
    <w:rsid w:val="00F33264"/>
    <w:rsid w:val="00F50851"/>
    <w:rsid w:val="00F76625"/>
    <w:rsid w:val="00F90680"/>
    <w:rsid w:val="00FD5EA5"/>
    <w:rsid w:val="00FE5A8C"/>
    <w:rsid w:val="00FF09B9"/>
    <w:rsid w:val="00FF1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A86"/>
    <w:rPr>
      <w:rFonts w:ascii="Tahoma" w:eastAsia="Calibri" w:hAnsi="Tahoma" w:cs="Tahoma"/>
      <w:sz w:val="16"/>
      <w:szCs w:val="16"/>
    </w:rPr>
  </w:style>
  <w:style w:type="paragraph" w:styleId="ListParagraph">
    <w:name w:val="List Paragraph"/>
    <w:basedOn w:val="Normal"/>
    <w:uiPriority w:val="34"/>
    <w:qFormat/>
    <w:rsid w:val="00065A86"/>
    <w:pPr>
      <w:ind w:left="720"/>
      <w:contextualSpacing/>
    </w:pPr>
  </w:style>
  <w:style w:type="paragraph" w:customStyle="1" w:styleId="Default">
    <w:name w:val="Default"/>
    <w:rsid w:val="00FD5EA5"/>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apple-style-span">
    <w:name w:val="apple-style-span"/>
    <w:basedOn w:val="DefaultParagraphFont"/>
    <w:rsid w:val="006D3841"/>
  </w:style>
  <w:style w:type="character" w:customStyle="1" w:styleId="apple-converted-space">
    <w:name w:val="apple-converted-space"/>
    <w:basedOn w:val="DefaultParagraphFont"/>
    <w:rsid w:val="006D3841"/>
  </w:style>
  <w:style w:type="character" w:styleId="Emphasis">
    <w:name w:val="Emphasis"/>
    <w:basedOn w:val="DefaultParagraphFont"/>
    <w:uiPriority w:val="20"/>
    <w:qFormat/>
    <w:rsid w:val="006D384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13</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3</cp:revision>
  <cp:lastPrinted>2010-10-25T07:04:00Z</cp:lastPrinted>
  <dcterms:created xsi:type="dcterms:W3CDTF">2010-10-27T19:50:00Z</dcterms:created>
  <dcterms:modified xsi:type="dcterms:W3CDTF">2010-10-29T01:58:00Z</dcterms:modified>
</cp:coreProperties>
</file>